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2026.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left"/>
      </w:pPr>
      <w:r>
        <w:rPr>
          <w:color w:val="000000"/>
        </w:rPr>
        <w:t>    </w:t>
      </w: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rPr>
        <w:t>.</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001-38900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THE PENNANT GROUP, INC.</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83-3349931</w:t>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1675 East Riverside Drive, Suite 150, Eagle, ID 83616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(208) 401-1400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47"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None </w:t>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ind w:left="0" w:right="0" w:firstLine="495"/>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Exchange Act: None</w:t>
      </w:r>
    </w:p>
    <w:p>
      <w:pPr>
        <w:pStyle w:val="TextBody"/>
        <w:bidi w:val="0"/>
        <w:spacing w:before="0" w:after="0"/>
        <w:jc w:val="center"/>
      </w:pPr>
      <w:r/>
    </w:p>
    <w:p>
      <w:pPr>
        <w:pStyle w:val="TextBody"/>
        <w:bidi w:val="0"/>
        <w:spacing w:lineRule="auto" w:line="288" w:before="200" w:after="283"/>
        <w:ind w:left="0" w:right="0" w:firstLine="495"/>
        <w:jc w:val="both"/>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ind w:left="0" w:right="0" w:firstLine="495"/>
        <w:jc w:val="both"/>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before="0" w:after="0"/>
        <w:ind w:left="0" w:right="0" w:firstLine="495"/>
        <w:jc w:val="left"/>
      </w:p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pPr>
      <w:r/>
    </w:p>
    <w:p>
      <w:pPr>
        <w:pStyle w:val="TextBody"/>
        <w:bidi w:val="0"/>
        <w:spacing w:lineRule="auto" w:line="288" w:before="0" w:after="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pPr>
      <w:r/>
    </w:p>
    <w:p>
      <w:pPr>
        <w:pStyle w:val="TextBody"/>
        <w:bidi w:val="0"/>
        <w:spacing w:lineRule="auto" w:line="288" w:before="0" w:after="0"/>
        <w:ind w:left="0" w:right="0" w:firstLine="495"/>
        <w:jc w:val="left"/>
      </w:pPr>
      <w:r>
        <w:rPr>
          <w:rFonts w:ascii="Times New Roman;serif" w:hAnsi="Times New Roman;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November 2, 2026, 35,132,364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AND NINE MONTHS ENDED SEPTEMBER 30, 2026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3"/>
        <w:gridCol w:w="240"/>
        <w:gridCol w:w="241"/>
        <w:gridCol w:w="109"/>
        <w:gridCol w:w="3002"/>
        <w:gridCol w:w="2980"/>
        <w:gridCol w:w="2985"/>
        <w:gridCol w:w="109"/>
        <w:gridCol w:w="109"/>
        <w:gridCol w:w="157"/>
      </w:tblGrid>
      <w:t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10">
              <w:r>
                <w:rPr>
                  <w:rStyle w:val="InternetLink"/>
                  <w:rFonts w:ascii="Times New Roman;serif" w:hAnsi="Times New Roman;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13">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13">
              <w:r>
                <w:rPr>
                  <w:rStyle w:val="InternetLink"/>
                  <w:rFonts w:ascii="Times New Roman;serif" w:hAnsi="Times New Roman;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16">
              <w:r>
                <w:rPr>
                  <w:rStyle w:val="InternetLink"/>
                  <w:rFonts w:ascii="Times New Roman;serif" w:hAnsi="Times New Roman;serif"/>
                  <w:b w:val="false"/>
                  <w:color w:val="000080"/>
                  <w:sz w:val="20"/>
                  <w:u w:val="single"/>
                </w:rPr>
                <w:t xml:space="preserve">Condensed Consolidated Balance Sheets as of </w:t>
              </w:r>
            </w:hyperlink>
            <w:hyperlink w:anchor="ib695317811634630933c0e3fd82f4bc6_16">
              <w:r>
                <w:rPr>
                  <w:rStyle w:val="InternetLink"/>
                  <w:rFonts w:ascii="Times New Roman;serif" w:hAnsi="Times New Roman;serif"/>
                  <w:b w:val="false"/>
                  <w:color w:val="000080"/>
                  <w:sz w:val="20"/>
                  <w:u w:val="single"/>
                </w:rPr>
                <w:t>September</w:t>
              </w:r>
            </w:hyperlink>
            <w:hyperlink w:anchor="ib695317811634630933c0e3fd82f4bc6_16">
              <w:r>
                <w:rPr>
                  <w:rStyle w:val="InternetLink"/>
                  <w:rFonts w:ascii="Times New Roman;serif" w:hAnsi="Times New Roman;serif"/>
                  <w:b w:val="false"/>
                  <w:color w:val="000080"/>
                  <w:sz w:val="20"/>
                  <w:u w:val="single"/>
                </w:rPr>
                <w:t xml:space="preserve"> 30, 2026 and December 31,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16">
              <w:r>
                <w:rPr>
                  <w:rStyle w:val="InternetLink"/>
                  <w:rFonts w:ascii="Times New Roman;serif" w:hAnsi="Times New Roman;serif"/>
                  <w:b w:val="false"/>
                  <w:color w:val="0000FF"/>
                  <w:sz w:val="20"/>
                  <w:u w:val="single"/>
                </w:rPr>
                <w:t>1</w:t>
              </w:r>
            </w:hyperlink>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19">
              <w:r>
                <w:rPr>
                  <w:rStyle w:val="InternetLink"/>
                  <w:rFonts w:ascii="Times New Roman;serif" w:hAnsi="Times New Roman;serif"/>
                  <w:b w:val="false"/>
                  <w:color w:val="000080"/>
                  <w:sz w:val="20"/>
                  <w:u w:val="single"/>
                </w:rPr>
                <w:t xml:space="preserve">Condensed Consolidated Statements of Income for the three and </w:t>
              </w:r>
            </w:hyperlink>
            <w:hyperlink w:anchor="ib695317811634630933c0e3fd82f4bc6_19">
              <w:r>
                <w:rPr>
                  <w:rStyle w:val="InternetLink"/>
                  <w:rFonts w:ascii="Times New Roman;serif" w:hAnsi="Times New Roman;serif"/>
                  <w:b w:val="false"/>
                  <w:color w:val="000080"/>
                  <w:sz w:val="20"/>
                  <w:u w:val="single"/>
                </w:rPr>
                <w:t>nine</w:t>
              </w:r>
            </w:hyperlink>
            <w:hyperlink w:anchor="ib695317811634630933c0e3fd82f4bc6_19">
              <w:r>
                <w:rPr>
                  <w:rStyle w:val="InternetLink"/>
                  <w:rFonts w:ascii="Times New Roman;serif" w:hAnsi="Times New Roman;serif"/>
                  <w:b w:val="false"/>
                  <w:color w:val="000080"/>
                  <w:sz w:val="20"/>
                  <w:u w:val="single"/>
                </w:rPr>
                <w:t xml:space="preserve"> months ended </w:t>
              </w:r>
            </w:hyperlink>
            <w:hyperlink w:anchor="ib695317811634630933c0e3fd82f4bc6_19">
              <w:r>
                <w:rPr>
                  <w:rStyle w:val="InternetLink"/>
                  <w:rFonts w:ascii="Times New Roman;serif" w:hAnsi="Times New Roman;serif"/>
                  <w:b w:val="false"/>
                  <w:color w:val="000080"/>
                  <w:sz w:val="20"/>
                  <w:u w:val="single"/>
                </w:rPr>
                <w:t>September</w:t>
              </w:r>
            </w:hyperlink>
            <w:hyperlink w:anchor="ib695317811634630933c0e3fd82f4bc6_19">
              <w:r>
                <w:rPr>
                  <w:rStyle w:val="InternetLink"/>
                  <w:rFonts w:ascii="Times New Roman;serif" w:hAnsi="Times New Roman;serif"/>
                  <w:b w:val="false"/>
                  <w:color w:val="000080"/>
                  <w:sz w:val="20"/>
                  <w:u w:val="single"/>
                </w:rPr>
                <w:t xml:space="preserve"> 30,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19">
              <w:r>
                <w:rPr>
                  <w:rStyle w:val="InternetLink"/>
                  <w:rFonts w:ascii="Times New Roman;serif" w:hAnsi="Times New Roman;serif"/>
                  <w:b w:val="false"/>
                  <w:color w:val="0000FF"/>
                  <w:sz w:val="20"/>
                  <w:u w:val="single"/>
                </w:rPr>
                <w:t>2</w:t>
              </w:r>
            </w:hyperlink>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22">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b695317811634630933c0e3fd82f4bc6_22">
              <w:r>
                <w:rPr>
                  <w:rStyle w:val="InternetLink"/>
                  <w:rFonts w:ascii="Times New Roman;serif" w:hAnsi="Times New Roman;serif"/>
                  <w:b w:val="false"/>
                  <w:color w:val="000080"/>
                  <w:sz w:val="20"/>
                  <w:u w:val="single"/>
                </w:rPr>
                <w:t>nine</w:t>
              </w:r>
            </w:hyperlink>
            <w:hyperlink w:anchor="ib695317811634630933c0e3fd82f4bc6_22">
              <w:r>
                <w:rPr>
                  <w:rStyle w:val="InternetLink"/>
                  <w:rFonts w:ascii="Times New Roman;serif" w:hAnsi="Times New Roman;serif"/>
                  <w:b w:val="false"/>
                  <w:color w:val="000080"/>
                  <w:sz w:val="20"/>
                  <w:u w:val="single"/>
                </w:rPr>
                <w:t xml:space="preserve"> months ended </w:t>
              </w:r>
            </w:hyperlink>
            <w:hyperlink w:anchor="ib695317811634630933c0e3fd82f4bc6_22">
              <w:r>
                <w:rPr>
                  <w:rStyle w:val="InternetLink"/>
                  <w:rFonts w:ascii="Times New Roman;serif" w:hAnsi="Times New Roman;serif"/>
                  <w:b w:val="false"/>
                  <w:color w:val="000080"/>
                  <w:sz w:val="20"/>
                  <w:u w:val="single"/>
                </w:rPr>
                <w:t>September</w:t>
              </w:r>
            </w:hyperlink>
            <w:hyperlink w:anchor="ib695317811634630933c0e3fd82f4bc6_22">
              <w:r>
                <w:rPr>
                  <w:rStyle w:val="InternetLink"/>
                  <w:rFonts w:ascii="Times New Roman;serif" w:hAnsi="Times New Roman;serif"/>
                  <w:b w:val="false"/>
                  <w:color w:val="000080"/>
                  <w:sz w:val="20"/>
                  <w:u w:val="single"/>
                </w:rPr>
                <w:t xml:space="preserve"> 30,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2">
              <w:r>
                <w:rPr>
                  <w:rStyle w:val="InternetLink"/>
                  <w:rFonts w:ascii="Times New Roman;serif" w:hAnsi="Times New Roman;serif"/>
                  <w:b w:val="false"/>
                  <w:color w:val="0000FF"/>
                  <w:sz w:val="20"/>
                  <w:u w:val="single"/>
                </w:rPr>
                <w:t>3</w:t>
              </w:r>
            </w:hyperlink>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25">
              <w:r>
                <w:rPr>
                  <w:rStyle w:val="InternetLink"/>
                  <w:rFonts w:ascii="Times New Roman;serif" w:hAnsi="Times New Roman;serif"/>
                  <w:b w:val="false"/>
                  <w:color w:val="000080"/>
                  <w:sz w:val="20"/>
                  <w:u w:val="single"/>
                </w:rPr>
                <w:t xml:space="preserve">Condensed Consolidated Statements of Cash Flows for the </w:t>
              </w:r>
            </w:hyperlink>
            <w:hyperlink w:anchor="ib695317811634630933c0e3fd82f4bc6_25">
              <w:r>
                <w:rPr>
                  <w:rStyle w:val="InternetLink"/>
                  <w:rFonts w:ascii="Times New Roman;serif" w:hAnsi="Times New Roman;serif"/>
                  <w:b w:val="false"/>
                  <w:color w:val="000080"/>
                  <w:sz w:val="20"/>
                  <w:u w:val="single"/>
                </w:rPr>
                <w:t>nine</w:t>
              </w:r>
            </w:hyperlink>
            <w:hyperlink w:anchor="ib695317811634630933c0e3fd82f4bc6_25">
              <w:r>
                <w:rPr>
                  <w:rStyle w:val="InternetLink"/>
                  <w:rFonts w:ascii="Times New Roman;serif" w:hAnsi="Times New Roman;serif"/>
                  <w:b w:val="false"/>
                  <w:color w:val="000080"/>
                  <w:sz w:val="20"/>
                  <w:u w:val="single"/>
                </w:rPr>
                <w:t xml:space="preserve"> months ended </w:t>
              </w:r>
            </w:hyperlink>
            <w:hyperlink w:anchor="ib695317811634630933c0e3fd82f4bc6_25">
              <w:r>
                <w:rPr>
                  <w:rStyle w:val="InternetLink"/>
                  <w:rFonts w:ascii="Times New Roman;serif" w:hAnsi="Times New Roman;serif"/>
                  <w:b w:val="false"/>
                  <w:color w:val="000080"/>
                  <w:sz w:val="20"/>
                  <w:u w:val="single"/>
                </w:rPr>
                <w:t>September</w:t>
              </w:r>
            </w:hyperlink>
            <w:hyperlink w:anchor="ib695317811634630933c0e3fd82f4bc6_25">
              <w:r>
                <w:rPr>
                  <w:rStyle w:val="InternetLink"/>
                  <w:rFonts w:ascii="Times New Roman;serif" w:hAnsi="Times New Roman;serif"/>
                  <w:b w:val="false"/>
                  <w:color w:val="000080"/>
                  <w:sz w:val="20"/>
                  <w:u w:val="single"/>
                </w:rPr>
                <w:t xml:space="preserve"> 30,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5">
              <w:r>
                <w:rPr>
                  <w:rStyle w:val="InternetLink"/>
                  <w:rFonts w:ascii="Times New Roman;serif" w:hAnsi="Times New Roman;serif"/>
                  <w:b w:val="false"/>
                  <w:color w:val="0000FF"/>
                  <w:sz w:val="20"/>
                  <w:u w:val="single"/>
                </w:rPr>
                <w:t>5</w:t>
              </w:r>
            </w:hyperlink>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28">
              <w:r>
                <w:rPr>
                  <w:rStyle w:val="InternetLink"/>
                  <w:rFonts w:ascii="Times New Roman;serif" w:hAnsi="Times New Roman;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8">
              <w:r>
                <w:rPr>
                  <w:rStyle w:val="InternetLink"/>
                  <w:rFonts w:ascii="Times New Roman;serif" w:hAnsi="Times New Roman;serif"/>
                  <w:b w:val="false"/>
                  <w:color w:val="0000FF"/>
                  <w:sz w:val="20"/>
                  <w:u w:val="single"/>
                </w:rPr>
                <w:t>7</w:t>
              </w:r>
            </w:hyperlink>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121">
              <w:r>
                <w:rPr>
                  <w:rStyle w:val="InternetLink"/>
                  <w:rFonts w:ascii="Times New Roman;serif" w:hAnsi="Times New Roman;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121">
              <w:r>
                <w:rPr>
                  <w:rStyle w:val="InternetLink"/>
                  <w:rFonts w:ascii="Times New Roman;serif" w:hAnsi="Times New Roman;serif"/>
                  <w:b w:val="false"/>
                  <w:color w:val="0000FF"/>
                  <w:sz w:val="20"/>
                  <w:u w:val="single"/>
                </w:rPr>
                <w:t>27</w:t>
              </w:r>
            </w:hyperlink>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193">
              <w:r>
                <w:rPr>
                  <w:rStyle w:val="InternetLink"/>
                  <w:rFonts w:ascii="Times New Roman;serif" w:hAnsi="Times New Roman;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193">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193">
              <w:r>
                <w:rPr>
                  <w:rStyle w:val="InternetLink"/>
                  <w:rFonts w:ascii="Times New Roman;serif" w:hAnsi="Times New Roman;serif"/>
                  <w:b w:val="false"/>
                  <w:color w:val="0000FF"/>
                  <w:sz w:val="20"/>
                  <w:u w:val="single"/>
                </w:rPr>
                <w:t>49</w:t>
              </w:r>
            </w:hyperlink>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196">
              <w:r>
                <w:rPr>
                  <w:rStyle w:val="InternetLink"/>
                  <w:rFonts w:ascii="Times New Roman;serif" w:hAnsi="Times New Roman;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196">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196">
              <w:r>
                <w:rPr>
                  <w:rStyle w:val="InternetLink"/>
                  <w:rFonts w:ascii="Times New Roman;serif" w:hAnsi="Times New Roman;serif"/>
                  <w:b w:val="false"/>
                  <w:color w:val="0000FF"/>
                  <w:sz w:val="20"/>
                  <w:u w:val="single"/>
                </w:rPr>
                <w:t>49</w:t>
              </w:r>
            </w:hyperlink>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b695317811634630933c0e3fd82f4bc6_199">
              <w:r>
                <w:rPr>
                  <w:rStyle w:val="InternetLink"/>
                  <w:rFonts w:ascii="Times New Roman;serif" w:hAnsi="Times New Roman;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202">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202">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02">
              <w:r>
                <w:rPr>
                  <w:rStyle w:val="InternetLink"/>
                  <w:rFonts w:ascii="Times New Roman;serif" w:hAnsi="Times New Roman;serif"/>
                  <w:b w:val="false"/>
                  <w:color w:val="0000FF"/>
                  <w:sz w:val="20"/>
                  <w:u w:val="single"/>
                </w:rPr>
                <w:t>50</w:t>
              </w:r>
            </w:hyperlink>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205">
              <w:r>
                <w:rPr>
                  <w:rStyle w:val="InternetLink"/>
                  <w:rFonts w:ascii="Times New Roman;serif" w:hAnsi="Times New Roman;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205">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05">
              <w:r>
                <w:rPr>
                  <w:rStyle w:val="InternetLink"/>
                  <w:rFonts w:ascii="Times New Roman;serif" w:hAnsi="Times New Roman;serif"/>
                  <w:b w:val="false"/>
                  <w:color w:val="0000FF"/>
                  <w:sz w:val="20"/>
                  <w:u w:val="single"/>
                </w:rPr>
                <w:t>50</w:t>
              </w:r>
            </w:hyperlink>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208">
              <w:r>
                <w:rPr>
                  <w:rStyle w:val="InternetLink"/>
                  <w:rFonts w:ascii="Times New Roman;serif" w:hAnsi="Times New Roman;serif"/>
                  <w:b w:val="false"/>
                  <w:color w:val="0000FF"/>
                  <w:sz w:val="20"/>
                  <w:u w:val="single"/>
                </w:rPr>
                <w:t>Item 5.</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208">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08">
              <w:r>
                <w:rPr>
                  <w:rStyle w:val="InternetLink"/>
                  <w:rFonts w:ascii="Times New Roman;serif" w:hAnsi="Times New Roman;serif"/>
                  <w:b w:val="false"/>
                  <w:color w:val="0000FF"/>
                  <w:sz w:val="20"/>
                  <w:u w:val="single"/>
                </w:rPr>
                <w:t>51</w:t>
              </w:r>
            </w:hyperlink>
          </w:p>
        </w:tc>
      </w:tr>
      <w:t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695317811634630933c0e3fd82f4bc6_214">
              <w:r>
                <w:rPr>
                  <w:rStyle w:val="InternetLink"/>
                  <w:rFonts w:ascii="Times New Roman;serif" w:hAnsi="Times New Roman;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214">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14">
              <w:r>
                <w:rPr>
                  <w:rStyle w:val="InternetLink"/>
                  <w:rFonts w:ascii="Times New Roman;serif" w:hAnsi="Times New Roman;serif"/>
                  <w:b w:val="false"/>
                  <w:color w:val="0000FF"/>
                  <w:sz w:val="20"/>
                  <w:u w:val="single"/>
                </w:rPr>
                <w:t>52</w:t>
              </w:r>
            </w:hyperlink>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695317811634630933c0e3fd82f4bc6_217">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b695317811634630933c0e3fd82f4bc6_217">
              <w:r>
                <w:rPr>
                  <w:rStyle w:val="InternetLink"/>
                  <w:rFonts w:ascii="Times New Roman;serif" w:hAnsi="Times New Roman;serif"/>
                  <w:b w:val="false"/>
                  <w:color w:val="0000FF"/>
                  <w:sz w:val="20"/>
                  <w:u w:val="single"/>
                </w:rPr>
                <w:t>53</w:t>
              </w:r>
            </w:hyperlink>
          </w:p>
        </w:tc>
      </w:tr>
      <w:t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par value)</w:t>
      </w:r>
    </w:p>
    <w:tbl>
      <w:tblPr>
        <w:tblW w:w="10205" w:type="dxa"/>
        <w:jc w:val="center"/>
        <w:tblInd w:w="0" w:type="dxa"/>
        <w:tblLayout w:type="fixed"/>
        <w:tblCellMar>
          <w:top w:w="28" w:type="dxa"/>
          <w:left w:w="28" w:type="dxa"/>
          <w:bottom w:w="28" w:type="dxa"/>
          <w:right w:w="28" w:type="dxa"/>
        </w:tblCellMar>
      </w:tblPr>
      <w:tblGrid>
        <w:gridCol w:w="2686"/>
        <w:gridCol w:w="2225"/>
        <w:gridCol w:w="2150"/>
        <w:gridCol w:w="235"/>
        <w:gridCol w:w="1087"/>
        <w:gridCol w:w="121"/>
        <w:gridCol w:w="109"/>
        <w:gridCol w:w="109"/>
        <w:gridCol w:w="109"/>
        <w:gridCol w:w="242"/>
        <w:gridCol w:w="951"/>
        <w:gridCol w:w="181"/>
      </w:tblGrid>
      <w:tr>
        <w:tc>
          <w:tcPr>
            <w:tcW w:w="2686"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credit losses of $877 and $681, at September 30, 2026 and December 31, 2025, respectively</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1,042,819 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623,054 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593,927 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100,000 shares authorized; 35,272 and 35,074 shares issued and outstanding, respectively, at September 30, 2026; and 34,878 and 34,626 shares issued and outstanding, respectively, at December 31, 2025 </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September 30, 2026 and December 31, 2025</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332,603 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3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41,649 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419,765 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374,252 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1,042,819 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1473"/>
        <w:gridCol w:w="1222"/>
        <w:gridCol w:w="1216"/>
        <w:gridCol w:w="242"/>
        <w:gridCol w:w="949"/>
        <w:gridCol w:w="124"/>
        <w:gridCol w:w="124"/>
        <w:gridCol w:w="124"/>
        <w:gridCol w:w="124"/>
        <w:gridCol w:w="242"/>
        <w:gridCol w:w="949"/>
        <w:gridCol w:w="124"/>
        <w:gridCol w:w="109"/>
        <w:gridCol w:w="109"/>
        <w:gridCol w:w="109"/>
        <w:gridCol w:w="234"/>
        <w:gridCol w:w="918"/>
        <w:gridCol w:w="120"/>
        <w:gridCol w:w="120"/>
        <w:gridCol w:w="120"/>
        <w:gridCol w:w="120"/>
        <w:gridCol w:w="234"/>
        <w:gridCol w:w="918"/>
        <w:gridCol w:w="181"/>
      </w:tblGrid>
      <w:tr>
        <w:tc>
          <w:tcPr>
            <w:tcW w:w="147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property and equipment,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285,739 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218,801 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834,600 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623,966 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31,359 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23,389 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20,941 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92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73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54"/>
      </w:tblGrid>
      <w:t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incentive shares issued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34,992 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35,081 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45,239 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2026</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43,948 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tbl>
      <w:tblPr>
        <w:tblW w:w="11052"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09"/>
        <w:gridCol w:w="109"/>
        <w:gridCol w:w="154"/>
      </w:tblGrid>
      <w:t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34,803 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21,130 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634" w:type="dxa"/>
        <w:jc w:val="center"/>
        <w:tblInd w:w="0" w:type="dxa"/>
        <w:tblLayout w:type="fixed"/>
        <w:tblCellMar>
          <w:top w:w="28" w:type="dxa"/>
          <w:left w:w="28" w:type="dxa"/>
          <w:bottom w:w="28" w:type="dxa"/>
          <w:right w:w="28" w:type="dxa"/>
        </w:tblCellMar>
      </w:tblPr>
      <w:tblGrid>
        <w:gridCol w:w="2097"/>
        <w:gridCol w:w="1839"/>
        <w:gridCol w:w="1853"/>
        <w:gridCol w:w="245"/>
        <w:gridCol w:w="809"/>
        <w:gridCol w:w="136"/>
        <w:gridCol w:w="136"/>
        <w:gridCol w:w="136"/>
        <w:gridCol w:w="136"/>
        <w:gridCol w:w="245"/>
        <w:gridCol w:w="809"/>
        <w:gridCol w:w="193"/>
      </w:tblGrid>
      <w:t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fees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property and equipment,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equity method investment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net of acquisitions: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related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27,336 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business acquisitions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asset acquisitions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 for equity method investment (Note 9)</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(68,450)</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(74,950)</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incremental term loans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revolver agreement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revolver agreement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share-based compensation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25,704 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cash </w:t>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(21,910)</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beginning of period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end of period</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754" w:type="dxa"/>
        <w:jc w:val="center"/>
        <w:tblInd w:w="0" w:type="dxa"/>
        <w:tblLayout w:type="fixed"/>
        <w:tblCellMar>
          <w:top w:w="28" w:type="dxa"/>
          <w:left w:w="28" w:type="dxa"/>
          <w:bottom w:w="28" w:type="dxa"/>
          <w:right w:w="28" w:type="dxa"/>
        </w:tblCellMar>
      </w:tblPr>
      <w:tblGrid>
        <w:gridCol w:w="2138"/>
        <w:gridCol w:w="1880"/>
        <w:gridCol w:w="1891"/>
        <w:gridCol w:w="245"/>
        <w:gridCol w:w="809"/>
        <w:gridCol w:w="136"/>
        <w:gridCol w:w="136"/>
        <w:gridCol w:w="136"/>
        <w:gridCol w:w="136"/>
        <w:gridCol w:w="245"/>
        <w:gridCol w:w="809"/>
        <w:gridCol w:w="193"/>
      </w:tblGrid>
      <w:tr>
        <w:tc>
          <w:tcPr>
            <w:tcW w:w="213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13,303 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8,421 </w:t>
            </w:r>
          </w:p>
        </w:tc>
        <w:tc>
          <w:tcPr>
            <w:tcW w:w="19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35,921 </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32,313 </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new lease obligations</w:t>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25,689 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19,715 </w:t>
            </w:r>
          </w:p>
        </w:tc>
        <w:tc>
          <w:tcPr>
            <w:tcW w:w="19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obtained in exchange for new lease obligations</w:t>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activity:</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 accounts payable and accrued liabilities</w:t>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and operational senior living units)</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The Pennant Group, Inc. (herein referred to as “Pennant,” the “Company,” “we,” “it,” or “its”), is a holding company with no direct operating assets, employees or revenue. The Company, through its independent operating subsidiaries, provides healthcare services across the post-acute care continuum. As of September 30, 2026, the Company’s subsidiaries operated 175 home health, hospice and home care agencies and 70 senior living communities located in Alabama, Arizona, California, Colorado, Georgia, Idaho, Montana, Nevada, Oklahoma, Oregon, Tennessee, Texas, Utah, Washington, Wisconsin and Wyoming. We also provide home health and hospice operational support through a management service agreement in Connecticut. See Note 9, </w:t>
      </w:r>
      <w:r>
        <w:rPr>
          <w:rFonts w:ascii="Times New Roman;serif" w:hAnsi="Times New Roman;serif"/>
          <w:b w:val="false"/>
          <w:i/>
          <w:color w:val="000000"/>
          <w:sz w:val="20"/>
        </w:rPr>
        <w:t>Equity Method Investment</w:t>
      </w:r>
      <w:r>
        <w:rPr>
          <w:rFonts w:ascii="Times New Roman;serif" w:hAnsi="Times New Roman;serif"/>
          <w:b w:val="false"/>
          <w:color w:val="000000"/>
          <w:sz w:val="20"/>
        </w:rPr>
        <w:t>, for further details about our investment in these operations.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third parties under management agreements.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Basis of Presentation - </w:t>
      </w:r>
      <w:r>
        <w:rPr>
          <w:rFonts w:ascii="Times New Roman;serif" w:hAnsi="Times New Roman;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2025 is derived from the Company’s annual audited Consolidated Financial Statements for the fiscal year ended December 31, 2025,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consists of various limited liability companies and corporations established to operate home health, hospice, home care, senior living operations, and other ancillary businesses. The Interim Financial Statements include the accounts of all entities controlled by the Company through its ownership of a majority voting interest. Revenue was derived from transactional information specific to the Company’s services provided.</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Estimates and Assumptions -</w:t>
      </w:r>
      <w:r>
        <w:rPr>
          <w:color w:val="000000"/>
        </w:rPr>
        <w:t xml:space="preserve"> </w:t>
      </w:r>
      <w:r>
        <w:rPr>
          <w:rFonts w:ascii="Times New Roman;serif" w:hAnsi="Times New Roman;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State relief funding. </w:t>
      </w:r>
      <w:r>
        <w:rPr>
          <w:rFonts w:ascii="Times New Roman;serif" w:hAnsi="Times New Roman;serif"/>
          <w:b w:val="false"/>
          <w:color w:val="000000"/>
          <w:sz w:val="20"/>
        </w:rPr>
        <w:t>The Company receives state relief funding through programs from various states. The funding generally incorporates specific use requirements primarily for direct patient care including labor related expenses that are associated with providing patient care.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funds are recognized as a reduction of cost of services expenses when related expenses are incurred. As of September 30, 2026 and December 31, 2025, the Company had $478 and $477 in unapplied state relief funds, respectively.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unapplied state relief funds received are recorded in other accrued liabilities. The Company recognized state relief funding totaling $478 and $1,285 for the three and nine months ended September 30, 2026, and $341 and $1,258 for the three and nine months ended September 30, 2025, which the Company recognized as a reduction of cost of services expense. </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rules and interpretive releases of the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Disaggregation of Income Statement Expenses</w:t>
      </w:r>
      <w:r>
        <w:rPr>
          <w:color w:val="000000"/>
        </w:rPr>
        <w:t>”</w:t>
      </w:r>
      <w:r>
        <w:rPr>
          <w:rFonts w:ascii="Times New Roman;serif" w:hAnsi="Times New Roman;serif"/>
          <w:b w:val="false"/>
          <w:color w:val="000000"/>
          <w:sz w:val="20"/>
        </w:rPr>
        <w:t xml:space="preserve">, 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In September 2025, the FASB issued ASU 2025-06 </w:t>
      </w:r>
      <w:r>
        <w:rPr>
          <w:color w:val="000000"/>
        </w:rPr>
        <w:t>“</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 xml:space="preserve">which amends certain aspects of the accounting for and disclosure of software costs under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This guidance is effective for annual periods beginning after December 15, 2027, which will be the Company’s fiscal year 2028, and interim periods within the Company’s fiscal year 2029, with early adoption permitted. The Company is currently evaluating the impact of this ASU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3. TRANSACTIONS WITH ENSIGN</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directors who serve on our Board of Directors also serve as directors of The Ensign Group, Inc. (“Ensign”) and own shares of Ensign common stock. Pennant and Ensign partner in the provision of services along the healthcare continuum.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costs of $252 and $545 for the three and nine months ended September 30, 2026, and $69 and $472 for the three and nine months ended September 30, 2025, that related primarily to shared services at proximate operations.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Expenses related to room and board charges at Ensign skilled nursing facilities for hospice patients were $2,329 and $6,925 for the three and nine months ended September 30, 2026, and $1,713 and $4,921 for the three and nine months ended September 30, 2025, and are included in cost of services.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The Company’s independent operating subsidiaries leased 35 communities from subsidiaries of Ensign, the majority of which are under master lease arrangements as of September 30, 2026. See further discussion below at Note 12, </w:t>
      </w:r>
      <w:r>
        <w:rPr>
          <w:rFonts w:ascii="Times New Roman;serif" w:hAnsi="Times New Roman;serif"/>
          <w:b w:val="false"/>
          <w:i/>
          <w:color w:val="000000"/>
          <w:sz w:val="20"/>
        </w:rPr>
        <w:t>Leases</w:t>
      </w:r>
      <w:r>
        <w:rPr>
          <w:rFonts w:ascii="Times New Roman;serif" w:hAnsi="Times New Roman;serif"/>
          <w:b w:val="false"/>
          <w:color w:val="000000"/>
          <w:sz w:val="20"/>
        </w:rPr>
        <w:t>.</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4. NET INCOME PER COMMON SHARE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The following table sets forth the computation of basic and diluted net income per share for the periods presented: </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731"/>
        <w:gridCol w:w="1430"/>
        <w:gridCol w:w="1438"/>
        <w:gridCol w:w="247"/>
        <w:gridCol w:w="723"/>
        <w:gridCol w:w="127"/>
        <w:gridCol w:w="127"/>
        <w:gridCol w:w="127"/>
        <w:gridCol w:w="127"/>
        <w:gridCol w:w="247"/>
        <w:gridCol w:w="723"/>
        <w:gridCol w:w="127"/>
        <w:gridCol w:w="109"/>
        <w:gridCol w:w="109"/>
        <w:gridCol w:w="109"/>
        <w:gridCol w:w="231"/>
        <w:gridCol w:w="792"/>
        <w:gridCol w:w="119"/>
        <w:gridCol w:w="119"/>
        <w:gridCol w:w="119"/>
        <w:gridCol w:w="119"/>
        <w:gridCol w:w="231"/>
        <w:gridCol w:w="792"/>
        <w:gridCol w:w="182"/>
      </w:tblGrid>
      <w:tr>
        <w:tc>
          <w:tcPr>
            <w:tcW w:w="17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c>
          <w:tcPr>
            <w:tcW w:w="459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basic net income per share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Plus: assumed incremental shares from exercise of options and assumed conversion or vesting of restricted stock</w:t>
            </w:r>
            <w:r>
              <w:rPr>
                <w:rFonts w:ascii="Times New Roman;serif" w:hAnsi="Times New Roman;serif"/>
                <w:b w:val="false"/>
                <w:color w:val="000000"/>
                <w:sz w:val="13"/>
              </w:rPr>
              <w:t>(a)</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common shares outstanding for diluted income per share</w:t>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diluted per share amounts do not reflect common share equivalents outstanding of 1,948 and 2,076 for the three and nine months ended September 30, 2026, and 2,514 and 2,061 for the three and nine months ended September 30, 2025,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5. REVENUE AND ACCOUNTS RECEIVABLE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contractually agreed-upon amounts or rates.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as those services are rendered.</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service specific revenue recognition policies are as follows: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Home Health Revenue</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Medicare Revenue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payment periods;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Non-Medicare Revenue</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Episodic Based Revenue -</w:t>
      </w:r>
      <w:r>
        <w:rPr>
          <w:color w:val="000000"/>
        </w:rPr>
        <w:t xml:space="preserve"> </w:t>
      </w:r>
      <w:r>
        <w:rPr>
          <w:rFonts w:ascii="Times New Roman;serif" w:hAnsi="Times New Roman;serif"/>
          <w:b w:val="false"/>
          <w:color w:val="000000"/>
          <w:sz w:val="20"/>
        </w:rPr>
        <w:t>The Company recognizes revenue in a similar manner as it recognizes Medicare revenue for episodic-based rates that are paid by other insurance carriers, including Medicare Advantage programs; however, these rates can vary based upon the negotiated terms.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Non-episodic Based Revenue -</w:t>
      </w:r>
      <w:r>
        <w:rPr>
          <w:color w:val="000000"/>
        </w:rPr>
        <w:t xml:space="preserve"> </w:t>
      </w:r>
      <w:r>
        <w:rPr>
          <w:rFonts w:ascii="Times New Roman;serif" w:hAnsi="Times New Roman;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Management Services Revenue</w:t>
      </w:r>
      <w:r>
        <w:rPr>
          <w:color w:val="000000"/>
        </w:rPr>
        <w:t xml:space="preserve"> </w:t>
      </w:r>
      <w:r>
        <w:rPr>
          <w:rFonts w:ascii="Times New Roman;serif" w:hAnsi="Times New Roman;serif"/>
          <w:b w:val="false"/>
          <w:color w:val="000000"/>
          <w:sz w:val="20"/>
        </w:rPr>
        <w:t>- The Company recognizes revenue earned from its management service agreements as the services are provided. Fees charged are based upon the contractual terms of each agreement.</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Hospice Revenue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Living Revenue</w:t>
      </w:r>
    </w:p>
    <w:p>
      <w:pPr>
        <w:pStyle w:val="TextBody"/>
        <w:bidi w:val="0"/>
        <w:spacing w:before="0" w:after="0"/>
        <w:ind w:left="0" w:right="0" w:firstLine="45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The Company has elected the lessor practical expedient within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By Payor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three months ended September 30, 2026 and 2025, is summarized in the following tables:</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493"/>
        <w:gridCol w:w="432"/>
        <w:gridCol w:w="437"/>
        <w:gridCol w:w="109"/>
        <w:gridCol w:w="109"/>
        <w:gridCol w:w="109"/>
        <w:gridCol w:w="305"/>
        <w:gridCol w:w="1197"/>
        <w:gridCol w:w="157"/>
        <w:gridCol w:w="120"/>
        <w:gridCol w:w="120"/>
        <w:gridCol w:w="120"/>
        <w:gridCol w:w="254"/>
        <w:gridCol w:w="997"/>
        <w:gridCol w:w="131"/>
        <w:gridCol w:w="109"/>
        <w:gridCol w:w="109"/>
        <w:gridCol w:w="109"/>
        <w:gridCol w:w="333"/>
        <w:gridCol w:w="1141"/>
        <w:gridCol w:w="172"/>
        <w:gridCol w:w="109"/>
        <w:gridCol w:w="109"/>
        <w:gridCol w:w="109"/>
        <w:gridCol w:w="231"/>
        <w:gridCol w:w="909"/>
        <w:gridCol w:w="120"/>
        <w:gridCol w:w="109"/>
        <w:gridCol w:w="109"/>
        <w:gridCol w:w="109"/>
        <w:gridCol w:w="307"/>
        <w:gridCol w:w="309"/>
        <w:gridCol w:w="612"/>
      </w:tblGrid>
      <w:t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r>
      <w:t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23,631 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302,251 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41,830 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67,001 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108,831 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75,100 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97,181 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76,384 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55,474 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nine months ended September 30, 2026 and 2025, is summarized in the following tables:</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265,628 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449,519 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196,761 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303,680 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566,607 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399,102 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885,599 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ind w:left="0" w:right="0" w:hanging="360"/>
        <w:jc w:val="both"/>
      </w:p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121,131 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313,777 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403,379 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Impact</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as of September 30, 2026 and December 31, 2025 are summarized in the following table: </w:t>
      </w:r>
    </w:p>
    <w:p>
      <w:pPr>
        <w:pStyle w:val="TextBody"/>
        <w:bidi w:val="0"/>
        <w:spacing w:before="0" w:after="0"/>
        <w:ind w:left="0" w:right="0" w:firstLine="720"/>
        <w:jc w:val="both"/>
      </w:pPr>
      <w:r/>
    </w:p>
    <w:tbl>
      <w:tblPr>
        <w:tblW w:w="6581" w:type="dxa"/>
        <w:jc w:val="left"/>
        <w:tblInd w:w="0" w:type="dxa"/>
        <w:tblLayout w:type="fixed"/>
        <w:tblCellMar>
          <w:top w:w="28" w:type="dxa"/>
          <w:left w:w="28" w:type="dxa"/>
          <w:bottom w:w="28" w:type="dxa"/>
          <w:right w:w="28" w:type="dxa"/>
        </w:tblCellMar>
      </w:tblPr>
      <w:tblGrid>
        <w:gridCol w:w="984"/>
        <w:gridCol w:w="861"/>
        <w:gridCol w:w="870"/>
        <w:gridCol w:w="326"/>
        <w:gridCol w:w="1276"/>
        <w:gridCol w:w="168"/>
        <w:gridCol w:w="109"/>
        <w:gridCol w:w="109"/>
        <w:gridCol w:w="109"/>
        <w:gridCol w:w="313"/>
        <w:gridCol w:w="1228"/>
        <w:gridCol w:w="228"/>
      </w:tblGrid>
      <w:tr>
        <w:tc>
          <w:tcPr>
            <w:tcW w:w="98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64,813 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and other</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130,836 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Concentrations - Credit Risk</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significant accounts receivable balances, the collectability of which is dependent on the availability of funds from certain governmental programs, primarily Medicare and Medicaid, which may be paid directly by those programs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administered by third parties, such as in the case of Medicare Advantage plans or state Medicaid funds administered by managed care organizations.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receivables from the Medicare and Medicaid programs accounted for approximately 70.7% and 62.2% of its total accounts receivable as of September 30, 2026 and December 31, 2025, respectively. Combined revenue from reimbursement under the Medicare and Medicaid programs accounted for 63.8% and 64.0% of the Company’s revenue for the three and nine months ended September 30, 2026, and 61.2% and 61.3% of the Company’s revenue for the three and nine months ended September 30, 2025.</w:t>
      </w:r>
    </w:p>
    <w:p>
      <w:pPr>
        <w:pStyle w:val="TextBody"/>
        <w:bidi w:val="0"/>
        <w:spacing w:before="0" w:after="0"/>
        <w:jc w:val="both"/>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Practical Expedients and Exemptions</w:t>
      </w:r>
    </w:p>
    <w:p>
      <w:pPr>
        <w:pStyle w:val="TextBody"/>
        <w:bidi w:val="0"/>
        <w:spacing w:before="0" w:after="0"/>
        <w:ind w:left="0" w:right="0" w:firstLine="720"/>
        <w:jc w:val="left"/>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Topic 340, </w:t>
      </w:r>
      <w:r>
        <w:rPr>
          <w:rFonts w:ascii="Times New Roman;serif" w:hAnsi="Times New Roman;serif"/>
          <w:b w:val="false"/>
          <w:i/>
          <w:color w:val="000000"/>
          <w:sz w:val="20"/>
        </w:rPr>
        <w:t>Other Assets and Deferred Costs</w:t>
      </w:r>
      <w:r>
        <w:rPr>
          <w:rFonts w:ascii="Times New Roman;serif" w:hAnsi="Times New Roman;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6. BUSINESS SEGMENTS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w:t>
      </w:r>
    </w:p>
    <w:p>
      <w:pPr>
        <w:pStyle w:val="TextBody"/>
        <w:bidi w:val="0"/>
        <w:spacing w:before="0" w:after="0"/>
        <w:ind w:left="0" w:right="0" w:firstLine="495"/>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provided services through 175 affiliated home health, hospice and home care agencies, and 70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CODM does not review assets by segment and therefore assets and capital expenditure by segment are not disclosed below.</w:t>
      </w:r>
    </w:p>
    <w:p>
      <w:pPr>
        <w:pStyle w:val="TextBody"/>
        <w:bidi w:val="0"/>
        <w:spacing w:before="0" w:after="0"/>
        <w:ind w:left="0" w:right="0" w:firstLine="45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Segment Adjusted EBITDAR from Operations as the primary measure of profit and loss for the Company's reportable segments and to compare the performance of its operations with those of its competitors. The CODM monitors these results and provides guidance to leadership of the reportable segments to allocate enterprise-wide resources. 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as defined above.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financial information regarding the Company’s reportable segments, provided that general and administrative expenses are not allocated to the reportable segments: </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006"/>
        <w:gridCol w:w="884"/>
        <w:gridCol w:w="886"/>
        <w:gridCol w:w="109"/>
        <w:gridCol w:w="109"/>
        <w:gridCol w:w="109"/>
        <w:gridCol w:w="430"/>
        <w:gridCol w:w="1685"/>
        <w:gridCol w:w="222"/>
        <w:gridCol w:w="109"/>
        <w:gridCol w:w="109"/>
        <w:gridCol w:w="109"/>
        <w:gridCol w:w="334"/>
        <w:gridCol w:w="1145"/>
        <w:gridCol w:w="173"/>
        <w:gridCol w:w="109"/>
        <w:gridCol w:w="109"/>
        <w:gridCol w:w="109"/>
        <w:gridCol w:w="211"/>
        <w:gridCol w:w="616"/>
        <w:gridCol w:w="109"/>
        <w:gridCol w:w="109"/>
        <w:gridCol w:w="109"/>
        <w:gridCol w:w="109"/>
        <w:gridCol w:w="211"/>
        <w:gridCol w:w="826"/>
        <w:gridCol w:w="159"/>
      </w:tblGrid>
      <w:tr>
        <w:tc>
          <w:tcPr>
            <w:tcW w:w="100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41,365 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173,545 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999"/>
        <w:gridCol w:w="877"/>
        <w:gridCol w:w="880"/>
        <w:gridCol w:w="109"/>
        <w:gridCol w:w="109"/>
        <w:gridCol w:w="109"/>
        <w:gridCol w:w="427"/>
        <w:gridCol w:w="1676"/>
        <w:gridCol w:w="221"/>
        <w:gridCol w:w="109"/>
        <w:gridCol w:w="109"/>
        <w:gridCol w:w="109"/>
        <w:gridCol w:w="310"/>
        <w:gridCol w:w="1216"/>
        <w:gridCol w:w="160"/>
        <w:gridCol w:w="109"/>
        <w:gridCol w:w="109"/>
        <w:gridCol w:w="109"/>
        <w:gridCol w:w="211"/>
        <w:gridCol w:w="616"/>
        <w:gridCol w:w="109"/>
        <w:gridCol w:w="109"/>
        <w:gridCol w:w="109"/>
        <w:gridCol w:w="109"/>
        <w:gridCol w:w="211"/>
        <w:gridCol w:w="826"/>
        <w:gridCol w:w="158"/>
      </w:tblGrid>
      <w:t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119,117 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498,236 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84,027 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Segment Adjusted EBITDAR from Operations to Condensed Consolidated Income from Operations:</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472"/>
        <w:gridCol w:w="1230"/>
        <w:gridCol w:w="1239"/>
        <w:gridCol w:w="260"/>
        <w:gridCol w:w="889"/>
        <w:gridCol w:w="134"/>
        <w:gridCol w:w="134"/>
        <w:gridCol w:w="134"/>
        <w:gridCol w:w="134"/>
        <w:gridCol w:w="260"/>
        <w:gridCol w:w="889"/>
        <w:gridCol w:w="134"/>
        <w:gridCol w:w="109"/>
        <w:gridCol w:w="109"/>
        <w:gridCol w:w="109"/>
        <w:gridCol w:w="234"/>
        <w:gridCol w:w="919"/>
        <w:gridCol w:w="120"/>
        <w:gridCol w:w="120"/>
        <w:gridCol w:w="120"/>
        <w:gridCol w:w="120"/>
        <w:gridCol w:w="234"/>
        <w:gridCol w:w="919"/>
        <w:gridCol w:w="183"/>
      </w:tblGrid>
      <w:tr>
        <w:tc>
          <w:tcPr>
            <w:tcW w:w="147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Less: Start-up operations</w:t>
            </w:r>
            <w:r>
              <w:rPr>
                <w:rFonts w:ascii="Times New Roman;serif" w:hAnsi="Times New Roman;serif"/>
                <w:b w:val="false"/>
                <w:color w:val="000000"/>
                <w:sz w:val="13"/>
              </w:rPr>
              <w:t>(a)</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Share-based compensation expense and related taxes</w:t>
            </w:r>
            <w:r>
              <w:rPr>
                <w:rFonts w:ascii="Times New Roman;serif" w:hAnsi="Times New Roman;serif"/>
                <w:b w:val="false"/>
                <w:color w:val="000000"/>
                <w:sz w:val="13"/>
              </w:rPr>
              <w:t>(b)</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from Operations</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16,512 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50,999 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1"/>
        <w:gridCol w:w="2717"/>
        <w:gridCol w:w="384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2025 and 2026, the Company received insurance proceeds related to the property which were recorded in Gain on disposition of property and equipment, net on the Consolidated Statements of Income. This affiliate’s operations in 2026 excluding insurance gains are included in start-up operations.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$1,550 and $6,856 for the three and nine months ended September 30, 2026.</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tbl>
      <w:tblPr>
        <w:tblW w:w="9279"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819"/>
        <w:gridCol w:w="1811"/>
        <w:gridCol w:w="430"/>
        <w:gridCol w:w="109"/>
        <w:gridCol w:w="109"/>
        <w:gridCol w:w="109"/>
        <w:gridCol w:w="445"/>
        <w:gridCol w:w="1300"/>
        <w:gridCol w:w="325"/>
      </w:tblGrid>
      <w:t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pPr>
      <w:r/>
    </w:p>
    <w:tbl>
      <w:tblPr>
        <w:tblW w:w="9204" w:type="dxa"/>
        <w:jc w:val="left"/>
        <w:tblInd w:w="0" w:type="dxa"/>
        <w:tblLayout w:type="fixed"/>
        <w:tblCellMar>
          <w:top w:w="28" w:type="dxa"/>
          <w:left w:w="28" w:type="dxa"/>
          <w:bottom w:w="28" w:type="dxa"/>
          <w:right w:w="28" w:type="dxa"/>
        </w:tblCellMar>
      </w:tblPr>
      <w:tblGrid>
        <w:gridCol w:w="1240"/>
        <w:gridCol w:w="1087"/>
        <w:gridCol w:w="1093"/>
        <w:gridCol w:w="109"/>
        <w:gridCol w:w="109"/>
        <w:gridCol w:w="109"/>
        <w:gridCol w:w="690"/>
        <w:gridCol w:w="2014"/>
        <w:gridCol w:w="356"/>
        <w:gridCol w:w="109"/>
        <w:gridCol w:w="109"/>
        <w:gridCol w:w="109"/>
        <w:gridCol w:w="445"/>
        <w:gridCol w:w="1300"/>
        <w:gridCol w:w="325"/>
      </w:tblGrid>
      <w:tr>
        <w:tc>
          <w:tcPr>
            <w:tcW w:w="124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7. ACQUISITIONS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Acquisitions are accounted for using the acquisition method of accounting. </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Acquisitions</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the Company expanded its operations with the addition of seven senior living communities. In connection with four of the senior living communities acquired, the Company entered into new long-term “triple-net” leases. For the remaining three senior living communities acquired, the Company acquired the real estate of each community. The aggregate purchase price of the real estate acquired was $14,098, paid in cash and assumed liabilities, which consisted primarily of land and building. A subsidiary of the Company entered into a separate operations transfer agreement with the prior operator of each acquired operation as part of each transaction. These new communities included 411 operational senior living units to be operated by the Company’s independent operating subsidiaries.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the Company acquired two additional hospice businesses for $3,037, which were allocated primarily to Goodwill. The operations of the acquired businesses were integrated into existing hospice agencies owned by Pennant.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acquired certain operations of UnitedHealth, Amedisys, Inc. (“Amedisys”), and certain other sellers, to complement its home health, hospice, and home care businesses. As of December 31, 2025, the Company’s determination and allocation of the purchase price to net tangible and intangible assets was based on preliminary estimates. During the quarter ended June 30, 2026, the Company agreed to final working capital and other closing considerations which resulted in a $387 reduction in the purchase price. The Company also revised its allocation of the purchase price and recognized adjustments to the provisional values in reaching its final allocation as of September 30, 2026, which increased Accounts receivable, net by $2,188. Combined with the change in purchase price, this resulted in a decrease to Goodwill of $2,576.</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final allocation of the purchase price to the identifiable tangible and intangible assets acquired and liabilities assumed of the acquired UnitedHealth and Amedisys operations:</w:t>
      </w:r>
    </w:p>
    <w:p>
      <w:pPr>
        <w:pStyle w:val="TextBody"/>
        <w:bidi w:val="0"/>
        <w:spacing w:before="0" w:after="0"/>
        <w:ind w:left="0" w:right="0" w:firstLine="720"/>
        <w:jc w:val="both"/>
      </w:pPr>
      <w:r/>
    </w:p>
    <w:tbl>
      <w:tblPr>
        <w:tblW w:w="5196" w:type="dxa"/>
        <w:jc w:val="left"/>
        <w:tblInd w:w="0" w:type="dxa"/>
        <w:tblLayout w:type="fixed"/>
        <w:tblCellMar>
          <w:top w:w="28" w:type="dxa"/>
          <w:left w:w="28" w:type="dxa"/>
          <w:bottom w:w="28" w:type="dxa"/>
          <w:right w:w="28" w:type="dxa"/>
        </w:tblCellMar>
      </w:tblPr>
      <w:tblGrid>
        <w:gridCol w:w="1451"/>
        <w:gridCol w:w="1275"/>
        <w:gridCol w:w="1279"/>
        <w:gridCol w:w="211"/>
        <w:gridCol w:w="826"/>
        <w:gridCol w:w="154"/>
      </w:tblGrid>
      <w:t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consideration transferred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 acquired: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acquired</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179,155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assumed: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liabilities—less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 assumed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13,557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of acquired net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the business combinations during the three and nine months ended September 30, 2026.</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expanded its operations with the addition of nine home health agencies, four hospice agencies, and four senior living communities. In connection with three of the senior living communities acquired, the Company entered into new long-term “triple-net” leases. For the remaining senior living community acquired, the Company acquired the real estate of the community. These new communities included 316 operational senior living units to be operated by the Company's independent operating subsidiaries.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the business combinations during the nine months ended September 30, 2025.</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erif" w:hAnsi="Times New Roman;serif"/>
          <w:b/>
          <w:color w:val="000000"/>
          <w:sz w:val="20"/>
        </w:rPr>
      </w:pPr>
      <w:r>
        <w:rPr>
          <w:rFonts w:ascii="Times New Roman;serif" w:hAnsi="Times New Roman;serif"/>
          <w:b/>
          <w:color w:val="000000"/>
          <w:sz w:val="20"/>
        </w:rPr>
        <w:t>8. PROPERTY AND EQUIPMENT—NET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p>
      <w:pPr>
        <w:pStyle w:val="TextBody"/>
        <w:bidi w:val="0"/>
        <w:spacing w:before="0" w:after="0"/>
        <w:ind w:left="0" w:right="0" w:firstLine="720"/>
        <w:jc w:val="both"/>
      </w:pPr>
      <w:r/>
    </w:p>
    <w:tbl>
      <w:tblPr>
        <w:tblW w:w="6550" w:type="dxa"/>
        <w:jc w:val="left"/>
        <w:tblInd w:w="0" w:type="dxa"/>
        <w:tblLayout w:type="fixed"/>
        <w:tblCellMar>
          <w:top w:w="28" w:type="dxa"/>
          <w:left w:w="28" w:type="dxa"/>
          <w:bottom w:w="28" w:type="dxa"/>
          <w:right w:w="28" w:type="dxa"/>
        </w:tblCellMar>
      </w:tblPr>
      <w:tblGrid>
        <w:gridCol w:w="972"/>
        <w:gridCol w:w="852"/>
        <w:gridCol w:w="860"/>
        <w:gridCol w:w="358"/>
        <w:gridCol w:w="1226"/>
        <w:gridCol w:w="185"/>
        <w:gridCol w:w="109"/>
        <w:gridCol w:w="109"/>
        <w:gridCol w:w="109"/>
        <w:gridCol w:w="344"/>
        <w:gridCol w:w="1175"/>
        <w:gridCol w:w="251"/>
      </w:tblGrid>
      <w:t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96,446 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93,389 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$3,685 and $9,413 for the three and nine months ended September 30, 2026, and $2,063 and $6,179 for the three and nine months ended September 30, 2025. Management has evaluated its long-lived assets and determined there was no impairment recorded during the three and nine months ended September 30, 2026 and 2025.</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erif" w:hAnsi="Times New Roman;serif"/>
          <w:b/>
          <w:color w:val="000000"/>
          <w:sz w:val="20"/>
        </w:rPr>
      </w:pPr>
      <w:r>
        <w:rPr>
          <w:rFonts w:ascii="Times New Roman;serif" w:hAnsi="Times New Roman;serif"/>
          <w:b/>
          <w:color w:val="000000"/>
          <w:sz w:val="20"/>
        </w:rPr>
        <w:t>9. EQUITY METHOD INVESTMENT</w:t>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On June 1, 2026, the Company, through a wholly-owned operating subsidiary, entered into a contractual joint operating arrangement to be governed by the existing Management Services Agreement (the “MSA”) with Hartford Healthcare at Home, Inc. related to the provision of certain home health and hospice services in Connecticut. In connection with the arrangement, (i) the Company provides management, administrative, billing, operational, and other consulting services to the operator of the agencies, and (ii) the Company acquired the contractual right to receive 30% of the profits and losses recognized in connection with such arrangement in exchange for a $28,428 purchase payment including transaction costs. Because the Company will not have a majority interest in or exercise control with respect to this arrangement, the arrangement is accounted for using the equity method in accordance with ASC Topic 323, </w:t>
      </w:r>
      <w:r>
        <w:rPr>
          <w:rFonts w:ascii="Times New Roman;serif" w:hAnsi="Times New Roman;serif"/>
          <w:b w:val="false"/>
          <w:i/>
          <w:color w:val="000000"/>
          <w:sz w:val="20"/>
        </w:rPr>
        <w:t>Investments—Equity Method and Joint Ventures</w:t>
      </w:r>
      <w:r>
        <w:rPr>
          <w:rFonts w:ascii="Times New Roman;serif" w:hAnsi="Times New Roman;serif"/>
          <w:b w:val="false"/>
          <w:color w:val="000000"/>
          <w:sz w:val="20"/>
        </w:rPr>
        <w:t>. As of September 30, 2026, the carrying value of this investment was $30,177. For this investment, there was no difference in the carrying amount of the assets and liabilities and the maximum exposure to loss. Net income recognized on our proportionate shares of the net assets of our equity method investment was $1,379 and $1,749 for the three and nine months ended September 30, 2026.</w:t>
      </w:r>
    </w:p>
    <w:p>
      <w:pPr>
        <w:pStyle w:val="TextBody"/>
        <w:bidi w:val="0"/>
        <w:spacing w:before="0" w:after="0"/>
        <w:ind w:left="0" w:right="0" w:firstLine="72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 xml:space="preserve">10. GOODWILL AND OTHER INDEFINITE-LIVED INTANGIBLE ASSETS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activity in goodwill by segment for the nine months ended September 30, 2026:</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291"/>
        <w:gridCol w:w="1127"/>
        <w:gridCol w:w="1134"/>
        <w:gridCol w:w="530"/>
        <w:gridCol w:w="2078"/>
        <w:gridCol w:w="274"/>
        <w:gridCol w:w="109"/>
        <w:gridCol w:w="109"/>
        <w:gridCol w:w="109"/>
        <w:gridCol w:w="433"/>
        <w:gridCol w:w="1266"/>
        <w:gridCol w:w="223"/>
        <w:gridCol w:w="109"/>
        <w:gridCol w:w="109"/>
        <w:gridCol w:w="109"/>
        <w:gridCol w:w="211"/>
        <w:gridCol w:w="826"/>
        <w:gridCol w:w="158"/>
      </w:tblGrid>
      <w:tr>
        <w:tc>
          <w:tcPr>
            <w:tcW w:w="129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233,604 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allocation adjustment (Note 7)</w:t>
            </w:r>
          </w:p>
        </w:tc>
        <w:tc>
          <w:tcPr>
            <w:tcW w:w="2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233,979 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237,621 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indefinite-lived intangible assets consist of the following:</w:t>
      </w:r>
    </w:p>
    <w:p>
      <w:pPr>
        <w:pStyle w:val="TextBody"/>
        <w:bidi w:val="0"/>
        <w:spacing w:before="0" w:after="0"/>
        <w:ind w:left="0" w:right="0" w:firstLine="720"/>
        <w:jc w:val="both"/>
      </w:pPr>
      <w:r/>
    </w:p>
    <w:tbl>
      <w:tblPr>
        <w:tblW w:w="6611" w:type="dxa"/>
        <w:jc w:val="left"/>
        <w:tblInd w:w="0" w:type="dxa"/>
        <w:tblLayout w:type="fixed"/>
        <w:tblCellMar>
          <w:top w:w="28" w:type="dxa"/>
          <w:left w:w="28" w:type="dxa"/>
          <w:bottom w:w="28" w:type="dxa"/>
          <w:right w:w="28" w:type="dxa"/>
        </w:tblCellMar>
      </w:tblPr>
      <w:tblGrid>
        <w:gridCol w:w="992"/>
        <w:gridCol w:w="874"/>
        <w:gridCol w:w="879"/>
        <w:gridCol w:w="326"/>
        <w:gridCol w:w="1276"/>
        <w:gridCol w:w="168"/>
        <w:gridCol w:w="109"/>
        <w:gridCol w:w="109"/>
        <w:gridCol w:w="109"/>
        <w:gridCol w:w="313"/>
        <w:gridCol w:w="1228"/>
        <w:gridCol w:w="228"/>
      </w:tblGrid>
      <w:t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18,161 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 and Medicaid licenses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goodwill or intangible asset impairment charges were recorded during the three and nine months ended September 30, 2026 and 2025.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11. OTHER ACCRUED LIABILITIES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 of the following:</w:t>
      </w:r>
    </w:p>
    <w:p>
      <w:pPr>
        <w:pStyle w:val="TextBody"/>
        <w:bidi w:val="0"/>
        <w:spacing w:before="0" w:after="0"/>
        <w:ind w:left="0" w:right="0" w:firstLine="720"/>
        <w:jc w:val="both"/>
      </w:pPr>
      <w:r/>
    </w:p>
    <w:tbl>
      <w:tblPr>
        <w:tblW w:w="6854" w:type="dxa"/>
        <w:jc w:val="left"/>
        <w:tblInd w:w="0" w:type="dxa"/>
        <w:tblLayout w:type="fixed"/>
        <w:tblCellMar>
          <w:top w:w="28" w:type="dxa"/>
          <w:left w:w="28" w:type="dxa"/>
          <w:bottom w:w="28" w:type="dxa"/>
          <w:right w:w="28" w:type="dxa"/>
        </w:tblCellMar>
      </w:tblPr>
      <w:tblGrid>
        <w:gridCol w:w="1042"/>
        <w:gridCol w:w="917"/>
        <w:gridCol w:w="921"/>
        <w:gridCol w:w="358"/>
        <w:gridCol w:w="1226"/>
        <w:gridCol w:w="185"/>
        <w:gridCol w:w="109"/>
        <w:gridCol w:w="109"/>
        <w:gridCol w:w="109"/>
        <w:gridCol w:w="349"/>
        <w:gridCol w:w="1195"/>
        <w:gridCol w:w="180"/>
        <w:gridCol w:w="154"/>
      </w:tblGrid>
      <w:t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Self-insurance liabilities</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CAP liabilities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payable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 deposits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payable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liabilities—current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occurs when the Company receives payments in advance of services provided. Refunds payable includes payables related to overpayments, duplicate payments and credit balances from various payor sources. Resident deposits include refundable deposits to residents. </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through which its independent operating subsidiaries lease administrative offices of home health and hospice agencies, senior living communities, and corporate offices with initial lease terms ranging from one to 25 years. Most of these operating leases are non-cancelable,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 The Company also has finance leases which have initial terms between 2 and 5 years. As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September 30, 2026, the Company has a real estate lease with a purchase option that the Company is reasonably certain to exercise and leased vehicles that are considered finance leases under ASC 842.</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As of September 30, 2026, the Company’s independent operating subsidiaries leased 35 senior living communities from subsidiaries of Ensign (“Ensign Leases”), the majority of which are under master lease arrangements</w:t>
      </w:r>
      <w:r>
        <w:rPr>
          <w:rFonts w:ascii="Times New Roman;serif" w:hAnsi="Times New Roman;serif"/>
          <w:b w:val="false"/>
          <w:i/>
          <w:color w:val="000000"/>
          <w:sz w:val="20"/>
        </w:rPr>
        <w:t>.</w:t>
      </w:r>
      <w:r>
        <w:rPr>
          <w:color w:val="FF0000"/>
        </w:rPr>
        <w:t xml:space="preserve"> </w:t>
      </w:r>
      <w:r>
        <w:rPr>
          <w:rFonts w:ascii="Times New Roman;serif" w:hAnsi="Times New Roman;serif"/>
          <w:b w:val="false"/>
          <w:color w:val="000000"/>
          <w:sz w:val="20"/>
        </w:rPr>
        <w:t xml:space="preserve">The existing leases with subsidiaries of Ensign have initial terms of between 14 to 20 years. The total amount of rent expense included in rent - cost of services paid to subsidiaries of Ensign was $4,256 and $12,167 for the three and nine months ended September 30, 2026, and $3,757 and $11,266 for the three and nine months ended September 30, 2025.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Fifteen of the Company’s affiliated senior living communities, excluding the communities that are operated under the Ensign Leases,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Finance lease balances consist of the following:</w:t>
      </w:r>
    </w:p>
    <w:tbl>
      <w:tblPr>
        <w:tblW w:w="8664" w:type="dxa"/>
        <w:jc w:val="left"/>
        <w:tblInd w:w="0" w:type="dxa"/>
        <w:tblLayout w:type="fixed"/>
        <w:tblCellMar>
          <w:top w:w="28" w:type="dxa"/>
          <w:left w:w="28" w:type="dxa"/>
          <w:bottom w:w="28" w:type="dxa"/>
          <w:right w:w="28" w:type="dxa"/>
        </w:tblCellMar>
      </w:tblPr>
      <w:tblGrid>
        <w:gridCol w:w="1738"/>
        <w:gridCol w:w="1524"/>
        <w:gridCol w:w="1537"/>
        <w:gridCol w:w="397"/>
        <w:gridCol w:w="1165"/>
        <w:gridCol w:w="207"/>
        <w:gridCol w:w="109"/>
        <w:gridCol w:w="109"/>
        <w:gridCol w:w="109"/>
        <w:gridCol w:w="380"/>
        <w:gridCol w:w="1110"/>
        <w:gridCol w:w="279"/>
      </w:tblGrid>
      <w:t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balances:</w:t>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Finance right-of-use assets</w:t>
            </w:r>
            <w:r>
              <w:rPr>
                <w:rFonts w:ascii="Times New Roman;serif" w:hAnsi="Times New Roman;serif"/>
                <w:b w:val="false"/>
                <w:color w:val="000000"/>
                <w:sz w:val="13"/>
              </w:rPr>
              <w:t>(a)</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Finance lease liabilities—current</w:t>
            </w:r>
            <w:r>
              <w:rPr>
                <w:rFonts w:ascii="Times New Roman;serif" w:hAnsi="Times New Roman;serif"/>
                <w:b w:val="false"/>
                <w:color w:val="000000"/>
                <w:sz w:val="13"/>
              </w:rPr>
              <w:t>(b)</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Long-term finance lease liabilities—less current portion</w:t>
            </w:r>
            <w:r>
              <w:rPr>
                <w:rFonts w:ascii="Times New Roman;serif" w:hAnsi="Times New Roman;serif"/>
                <w:b w:val="false"/>
                <w:color w:val="000000"/>
                <w:sz w:val="13"/>
              </w:rPr>
              <w:t>(c)</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Finance right-of-use assets are included in Restricted and other assets on our Condensed Consolidated Balance Sheets.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Finance lease liabilities—current are included in Other accrued liabilities on our Condensed Consolidated Balance Sheets.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Long-term finance lease liabilities—less current portion are included in Other long-term liabilities on our Condensed Consolidated Balance Sheets.</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cost, net are as follows:</w:t>
      </w:r>
    </w:p>
    <w:p>
      <w:pPr>
        <w:pStyle w:val="TextBody"/>
        <w:bidi w:val="0"/>
        <w:spacing w:before="0" w:after="0"/>
        <w:ind w:left="0" w:right="0" w:firstLine="720"/>
        <w:jc w:val="left"/>
      </w:pPr>
      <w:r/>
    </w:p>
    <w:tbl>
      <w:tblPr>
        <w:tblW w:w="9502" w:type="dxa"/>
        <w:jc w:val="left"/>
        <w:tblInd w:w="0" w:type="dxa"/>
        <w:tblLayout w:type="fixed"/>
        <w:tblCellMar>
          <w:top w:w="28" w:type="dxa"/>
          <w:left w:w="28" w:type="dxa"/>
          <w:bottom w:w="28" w:type="dxa"/>
          <w:right w:w="28" w:type="dxa"/>
        </w:tblCellMar>
      </w:tblPr>
      <w:tblGrid>
        <w:gridCol w:w="1093"/>
        <w:gridCol w:w="958"/>
        <w:gridCol w:w="964"/>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 Rent—cost of 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Rent—cost of services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Rent—cost of services</w:t>
            </w:r>
            <w:r>
              <w:rPr>
                <w:rFonts w:ascii="Times New Roman;serif" w:hAnsi="Times New Roman;serif"/>
                <w:b w:val="false"/>
                <w:color w:val="000000"/>
                <w:sz w:val="13"/>
              </w:rPr>
              <w:t>(a)</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9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Variable lease cost</w:t>
            </w:r>
            <w:r>
              <w:rPr>
                <w:rFonts w:ascii="Times New Roman;serif" w:hAnsi="Times New Roman;serif"/>
                <w:b w:val="false"/>
                <w:color w:val="000000"/>
                <w:sz w:val="13"/>
              </w:rPr>
              <w:t>(b)</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Amortization of lease assets</w:t>
            </w:r>
            <w:r>
              <w:rPr>
                <w:rFonts w:ascii="Times New Roman;serif" w:hAnsi="Times New Roman;serif"/>
                <w:b w:val="false"/>
                <w:color w:val="000000"/>
                <w:sz w:val="13"/>
              </w:rPr>
              <w:t>(c)</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Interest on lease liabilities</w:t>
            </w:r>
            <w:r>
              <w:rPr>
                <w:rFonts w:ascii="Times New Roman;serif" w:hAnsi="Times New Roman;serif"/>
                <w:b w:val="false"/>
                <w:color w:val="000000"/>
                <w:sz w:val="13"/>
              </w:rPr>
              <w:t>(d)</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4"/>
        <w:gridCol w:w="2743"/>
        <w:gridCol w:w="390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short-term lease cost, which is immaterial.</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variable lease cost for operating leases, which costs include property taxes, insurance, common area maintenance, and consumer price index increases, incurred as part of the Company’s triple net leases, and which is included in cost of services for our home health and hospice and senior living leases, and general and administrative expense for our Service Center leases for the three and nine months ended September 30, 2026 and 2025.</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lease assets is included in Depreciation and amortization on our Condensed Consolidated Statements of Income.</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Interest on lease liabilities is included in Interest expense, net on our Condensed Consolidated Statements of Income.</w:t>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lease maturity analysis for all leases as of September 30, 2026:</w:t>
      </w:r>
    </w:p>
    <w:p>
      <w:pPr>
        <w:pStyle w:val="TextBody"/>
        <w:bidi w:val="0"/>
        <w:spacing w:before="0" w:after="0"/>
        <w:ind w:left="0" w:right="0" w:firstLine="720"/>
        <w:jc w:val="both"/>
      </w:pPr>
      <w:r/>
    </w:p>
    <w:tbl>
      <w:tblPr>
        <w:tblW w:w="7573" w:type="dxa"/>
        <w:jc w:val="left"/>
        <w:tblInd w:w="0" w:type="dxa"/>
        <w:tblLayout w:type="fixed"/>
        <w:tblCellMar>
          <w:top w:w="28" w:type="dxa"/>
          <w:left w:w="28" w:type="dxa"/>
          <w:bottom w:w="28" w:type="dxa"/>
          <w:right w:w="28" w:type="dxa"/>
        </w:tblCellMar>
      </w:tblPr>
      <w:tblGrid>
        <w:gridCol w:w="1125"/>
        <w:gridCol w:w="984"/>
        <w:gridCol w:w="996"/>
        <w:gridCol w:w="425"/>
        <w:gridCol w:w="1665"/>
        <w:gridCol w:w="219"/>
        <w:gridCol w:w="464"/>
        <w:gridCol w:w="1356"/>
        <w:gridCol w:w="339"/>
      </w:tblGrid>
      <w:t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 Amounts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Amounts</w:t>
            </w:r>
          </w:p>
        </w:tc>
      </w:tr>
      <w:t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414,974 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total lease liabilities</w:t>
            </w:r>
          </w:p>
        </w:tc>
        <w:tc>
          <w:tcPr>
            <w:tcW w:w="2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282,824 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255,961 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September 30, 2026, for our operating leases, the weighted average remaining lease term is 10.3 years and the weighted average discount rate is 7.9%. As of December 31, 2025, for our operating leases, the weighted average remaining lease term was 10.7 years and the weighted average discount rate was 7.9%. As of September 30, 2026, for our finance leases, the weighted average remaining lease term and the weighted average discount rate was 1.1 years and 6.2%, respectively. As of December 31, 2025, for our finance leases, the weighted average remaining lease term and the weighted average discount rate was 1.5 years and 6.3%, respectively.</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13. DEBT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net consists of the following:</w:t>
      </w:r>
    </w:p>
    <w:tbl>
      <w:tblPr>
        <w:tblW w:w="6775" w:type="dxa"/>
        <w:jc w:val="left"/>
        <w:tblInd w:w="0" w:type="dxa"/>
        <w:tblLayout w:type="fixed"/>
        <w:tblCellMar>
          <w:top w:w="28" w:type="dxa"/>
          <w:left w:w="28" w:type="dxa"/>
          <w:bottom w:w="28" w:type="dxa"/>
          <w:right w:w="28" w:type="dxa"/>
        </w:tblCellMar>
      </w:tblPr>
      <w:tblGrid>
        <w:gridCol w:w="1055"/>
        <w:gridCol w:w="924"/>
        <w:gridCol w:w="930"/>
        <w:gridCol w:w="326"/>
        <w:gridCol w:w="1276"/>
        <w:gridCol w:w="168"/>
        <w:gridCol w:w="109"/>
        <w:gridCol w:w="109"/>
        <w:gridCol w:w="109"/>
        <w:gridCol w:w="313"/>
        <w:gridCol w:w="1228"/>
        <w:gridCol w:w="228"/>
      </w:tblGrid>
      <w:t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term loans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199,250 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Unamortized debt issuance costs</w:t>
            </w:r>
            <w:r>
              <w:rPr>
                <w:rFonts w:ascii="Times New Roman;serif" w:hAnsi="Times New Roman;serif"/>
                <w:b w:val="false"/>
                <w:color w:val="000000"/>
                <w:sz w:val="13"/>
              </w:rPr>
              <w:t>(a)</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193,330 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For the three and nine months ended September 30, 2026, outstanding debt issuance costs of $2,408 are recorded in Restricted and other assets and $920 are recorded in Long-term debt, net. For the year ended December 31, 2025, outstanding debt issuance costs of $3,058 are recorded in Restricted and other assets and $1,163 are recorded in Long-term debt, net. </w:t>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entered into an Amended and Restated Credit Agreement (the “Amended Credit Agreement”), which provides for a revolving credit facility (the “Amended Revolving Credit Facility”) with a syndicate of banks with a borrowing capacity of $250,000. In conjunction with the amendment, the Company incurred additional debt issuance costs of $3,915 and wrote off previously deferred unamortized debt issuance costs of $428 in 2024. Per the terms of the Amended Credit Agreement, the interest rates applicable to loans under the Amended Revolving Credit Facility are, at the Company’s election, either (i) Term Standard Overnight Financing Rate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Pennant entered into the First Amendment to Amended and Restated Credit Agreement (the “First Amendment”), which provides for an incremental term loan with an aggregate principal amount of $100,000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In conjunction with the First Amendment, the Company incurred additional debt issuance costs of $1,203. The debt issuance costs associated with the Incremental Term Loans are recorded in Long-term debt, net. As of September 30, 2026, the Company’s weighted average interest rate on its outstanding debt was 6.08%.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had available borrowing on the Amended Revolving Credit Facility of $143,564, which was net of outstanding letters of credit of $3,436.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The fair value of the Amended Revolving Credit Facility and the Incremental Term Loans approximates carrying value, due to the short-term natur</w:t>
      </w:r>
      <w:r>
        <w:rPr>
          <w:rFonts w:ascii="Times New Roman;serif" w:hAnsi="Times New Roman;serif"/>
          <w:b w:val="false"/>
          <w:color w:val="000000"/>
          <w:sz w:val="20"/>
          <w:shd w:fill="FFFFFF" w:val="clear"/>
        </w:rPr>
        <w:t xml:space="preserve">e and variable interest rates. </w:t>
      </w:r>
      <w:r>
        <w:rPr>
          <w:rFonts w:ascii="Times New Roman;serif" w:hAnsi="Times New Roman;serif"/>
          <w:b w:val="false"/>
          <w:color w:val="000000"/>
          <w:sz w:val="20"/>
        </w:rPr>
        <w:t>The fair value of this debt is categorized within Level 2 of the fair value hierarchy based on the observable market borrowing rates.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leverage ratios that impact the amount of interest. As of September 30, 2026, the Company was compliant with all such financial covenants.</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14. OPTIONS AND AWARDS</w:t>
      </w:r>
    </w:p>
    <w:p>
      <w:pPr>
        <w:pStyle w:val="TextBody"/>
        <w:bidi w:val="0"/>
        <w:spacing w:lineRule="auto" w:line="288" w:before="0" w:after="0"/>
        <w:ind w:left="0" w:right="0" w:firstLine="720"/>
        <w:jc w:val="both"/>
      </w:pPr>
      <w:r>
        <w:rPr>
          <w:rFonts w:ascii="Times New Roman;serif" w:hAnsi="Times New Roman;serif"/>
          <w:b w:val="false"/>
          <w:color w:val="212529"/>
          <w:sz w:val="20"/>
        </w:rPr>
        <w:t xml:space="preserve">Outstanding options and restricted stock awards of the Company were granted under the Amended and Restated 2019 Omnibus Incentive Plan (the </w:t>
      </w:r>
      <w:r>
        <w:rPr>
          <w:color w:val="000000"/>
        </w:rPr>
        <w:t>“</w:t>
      </w:r>
      <w:r>
        <w:rPr>
          <w:rFonts w:ascii="Times New Roman;serif" w:hAnsi="Times New Roman;serif"/>
          <w:b w:val="false"/>
          <w:color w:val="212529"/>
          <w:sz w:val="20"/>
        </w:rPr>
        <w:t>Amended and Restated Plan</w:t>
      </w:r>
      <w:r>
        <w:rPr>
          <w:color w:val="000000"/>
        </w:rPr>
        <w:t>”</w:t>
      </w:r>
      <w:r>
        <w:rPr>
          <w:rFonts w:ascii="Times New Roman;serif" w:hAnsi="Times New Roman;serif"/>
          <w:b w:val="false"/>
          <w:color w:val="212529"/>
          <w:sz w:val="20"/>
        </w:rPr>
        <w:t xml:space="preserve">) and Long-Term Incentive Plan (the </w:t>
      </w:r>
      <w:r>
        <w:rPr>
          <w:color w:val="000000"/>
        </w:rPr>
        <w:t>“</w:t>
      </w:r>
      <w:r>
        <w:rPr>
          <w:rFonts w:ascii="Times New Roman;serif" w:hAnsi="Times New Roman;serif"/>
          <w:b w:val="false"/>
          <w:color w:val="212529"/>
          <w:sz w:val="20"/>
        </w:rPr>
        <w:t>LTIP</w:t>
      </w:r>
      <w:r>
        <w:rPr>
          <w:color w:val="000000"/>
        </w:rPr>
        <w:t>”</w:t>
      </w:r>
      <w:r>
        <w:rPr>
          <w:rFonts w:ascii="Times New Roman;serif" w:hAnsi="Times New Roman;serif"/>
          <w:b w:val="false"/>
          <w:color w:val="000000"/>
          <w:sz w:val="20"/>
        </w:rPr>
        <w:t>, and together with the Amended and Restated Plan, the “Pennant Plans”</w:t>
      </w:r>
      <w:r>
        <w:rPr>
          <w:rFonts w:ascii="Times New Roman;serif" w:hAnsi="Times New Roman;serif"/>
          <w:b w:val="false"/>
          <w:color w:val="212529"/>
          <w:sz w:val="20"/>
        </w:rPr>
        <w:t>). During the second quarter of 2025, the Company’s stockholders approved the Amended and Restated Plan, which increased the total number of shares authorized for issuance under the 2019 Omnibus Incentive Plan (the “Predecessor Plan”). Including the shares rolled over from the Predecessor Plan, the Amended and Restated Plan provides for the issuance of 3,293 shares of common stock.</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Pennant Plans, share-based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disclosures represent share-based compensation expense relating to the Pennant Plans, including awards to employees of the Company’s subsidiaries.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expense for all Pennant Plans for the three and nine months ended September 30, 2026 and 2025 was:</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647"/>
        <w:gridCol w:w="1433"/>
        <w:gridCol w:w="1440"/>
        <w:gridCol w:w="257"/>
        <w:gridCol w:w="753"/>
        <w:gridCol w:w="132"/>
        <w:gridCol w:w="132"/>
        <w:gridCol w:w="132"/>
        <w:gridCol w:w="132"/>
        <w:gridCol w:w="257"/>
        <w:gridCol w:w="753"/>
        <w:gridCol w:w="132"/>
        <w:gridCol w:w="109"/>
        <w:gridCol w:w="109"/>
        <w:gridCol w:w="109"/>
        <w:gridCol w:w="250"/>
        <w:gridCol w:w="733"/>
        <w:gridCol w:w="129"/>
        <w:gridCol w:w="129"/>
        <w:gridCol w:w="129"/>
        <w:gridCol w:w="129"/>
        <w:gridCol w:w="250"/>
        <w:gridCol w:w="733"/>
        <w:gridCol w:w="196"/>
      </w:tblGrid>
      <w:tr>
        <w:tc>
          <w:tcPr>
            <w:tcW w:w="164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stock options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 to non-employee directors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future periods, the Company estimates it will recognize the following share-based compensation expense for unvested stock options and unvested Restricted Stock as of September 30, 2026: </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Recognition Period </w:t>
              <w:br/>
              <w:t>(in years)</w:t>
            </w:r>
          </w:p>
        </w:tc>
      </w:tr>
      <w:t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Stock Options</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39,377 </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option-pricing model to recognize the value of share-based compensation expense for share-based payment awards under the Pennant Plans. Determining the appropriate fair-value model and calculating the fair value of share-based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is estimated on the grant date using a Black-Scholes option-pricing model with the following weighted average assumptions for stock options granted as of September 30:</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392"/>
        <w:gridCol w:w="339"/>
        <w:gridCol w:w="340"/>
        <w:gridCol w:w="109"/>
        <w:gridCol w:w="109"/>
        <w:gridCol w:w="109"/>
        <w:gridCol w:w="281"/>
        <w:gridCol w:w="281"/>
        <w:gridCol w:w="702"/>
        <w:gridCol w:w="109"/>
        <w:gridCol w:w="109"/>
        <w:gridCol w:w="109"/>
        <w:gridCol w:w="349"/>
        <w:gridCol w:w="349"/>
        <w:gridCol w:w="350"/>
        <w:gridCol w:w="109"/>
        <w:gridCol w:w="109"/>
        <w:gridCol w:w="109"/>
        <w:gridCol w:w="334"/>
        <w:gridCol w:w="276"/>
        <w:gridCol w:w="688"/>
        <w:gridCol w:w="109"/>
        <w:gridCol w:w="109"/>
        <w:gridCol w:w="109"/>
        <w:gridCol w:w="239"/>
        <w:gridCol w:w="226"/>
        <w:gridCol w:w="564"/>
        <w:gridCol w:w="109"/>
        <w:gridCol w:w="109"/>
        <w:gridCol w:w="109"/>
        <w:gridCol w:w="377"/>
        <w:gridCol w:w="1103"/>
        <w:gridCol w:w="287"/>
      </w:tblGrid>
      <w:t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Expected Life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Expected Volatility</w:t>
            </w:r>
            <w:r>
              <w:rPr>
                <w:rFonts w:ascii="Times New Roman;serif" w:hAnsi="Times New Roman;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Fair Value of Options</w:t>
            </w:r>
          </w:p>
        </w:tc>
      </w:tr>
      <w:tr>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r>
      <w:t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employee stock option activity during the nine months ended September 30, 2026:</w:t>
      </w:r>
    </w:p>
    <w:p>
      <w:pPr>
        <w:pStyle w:val="TextBody"/>
        <w:bidi w:val="0"/>
        <w:spacing w:before="0" w:after="0"/>
        <w:ind w:left="0" w:right="0" w:firstLine="720"/>
        <w:jc w:val="left"/>
      </w:pPr>
      <w:r/>
    </w:p>
    <w:tbl>
      <w:tblPr>
        <w:tblW w:w="7490" w:type="dxa"/>
        <w:jc w:val="left"/>
        <w:tblInd w:w="0" w:type="dxa"/>
        <w:tblLayout w:type="fixed"/>
        <w:tblCellMar>
          <w:top w:w="28" w:type="dxa"/>
          <w:left w:w="28" w:type="dxa"/>
          <w:bottom w:w="28" w:type="dxa"/>
          <w:right w:w="28" w:type="dxa"/>
        </w:tblCellMar>
      </w:tblPr>
      <w:tblGrid>
        <w:gridCol w:w="646"/>
        <w:gridCol w:w="568"/>
        <w:gridCol w:w="571"/>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Exercise Price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Vested</w:t>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7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status of Pennant’s non-vested Restricted Stock, and changes during the nine months ended September 30, 2026, is presented below: </w:t>
      </w:r>
    </w:p>
    <w:p>
      <w:pPr>
        <w:pStyle w:val="TextBody"/>
        <w:bidi w:val="0"/>
        <w:spacing w:before="0" w:after="0"/>
        <w:ind w:left="0" w:right="0" w:firstLine="720"/>
        <w:jc w:val="both"/>
      </w:pPr>
      <w:r/>
    </w:p>
    <w:tbl>
      <w:tblPr>
        <w:tblW w:w="7765" w:type="dxa"/>
        <w:jc w:val="left"/>
        <w:tblInd w:w="0" w:type="dxa"/>
        <w:tblLayout w:type="fixed"/>
        <w:tblCellMar>
          <w:top w:w="28" w:type="dxa"/>
          <w:left w:w="28" w:type="dxa"/>
          <w:bottom w:w="28" w:type="dxa"/>
          <w:right w:w="28" w:type="dxa"/>
        </w:tblCellMar>
      </w:tblPr>
      <w:tblGrid>
        <w:gridCol w:w="646"/>
        <w:gridCol w:w="568"/>
        <w:gridCol w:w="571"/>
        <w:gridCol w:w="774"/>
        <w:gridCol w:w="774"/>
        <w:gridCol w:w="776"/>
        <w:gridCol w:w="109"/>
        <w:gridCol w:w="109"/>
        <w:gridCol w:w="109"/>
        <w:gridCol w:w="716"/>
        <w:gridCol w:w="2091"/>
        <w:gridCol w:w="522"/>
      </w:tblGrid>
      <w:t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15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15.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$3,119 and $2,518, or 22.0% and 26.8% of earnings before income taxes, for the three months ended September 30, 2026 and 2025, respectively. The decrease in the effective tax rate is primarily attributable to excess tax benefits from share-based compensation.</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$10,849 and $7,970, or 25.2% and 25.4% of earnings before income taxes, for the nine months ended September 30, 2026 and 2025, respectively. The decrease in the effective tax rate is primarily attributable to excess tax benefits from share-based compensation.</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16. DEFINED CONTRIBUTION AND DEFERRED COMPENSATION PLANS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$864 and $2,677 for the three and nine months ended September 30, 2026, and $650 and $1,777 for the three and nine months ended September 30, 2025.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the Company’s deferred compensation liabilities were $6,658 and $3,816, respectively, in Other long-term liabilities on the Condensed Consolidated Balance Sheets. The cash surrender value of the individual variable life insurance contracts is based on investment funds that shadow the investment allocations specified by participants in the DCP. At September 30, 2026 and December 31, 2025, the cash surrender value of the company owned life insurance (“COLI”) policies were $6,611 and $3,812, respectively, and were included as a component of Restricted and other assets on the Condensed Consolidated Balance Sheets. There are no outstanding loan amounts offset against the cash surrender value of the COLI policies. The gains and losses recorded for the change in cash surrender value were immaterial for each period presented.</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Regulatory Matters - </w:t>
      </w:r>
      <w:r>
        <w:rPr>
          <w:rFonts w:ascii="Times New Roman;serif" w:hAnsi="Times New Roman;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temporary or permanent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(“DOJ”), Department of Health and Human Services (“HHS”), Centers for Medicare and Medicaid Services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Cost-Containment Measures - </w:t>
      </w:r>
      <w:r>
        <w:rPr>
          <w:rFonts w:ascii="Times New Roman;serif" w:hAnsi="Times New Roman;serif"/>
          <w:b w:val="false"/>
          <w:color w:val="000000"/>
          <w:sz w:val="20"/>
        </w:rPr>
        <w:t>Government and third-party payors have instituted cost-containment measures designed to limit payments made to providers of healthcare services, may propose or implement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Indemnities - </w:t>
      </w:r>
      <w:r>
        <w:rPr>
          <w:rFonts w:ascii="Times New Roman;serif" w:hAnsi="Times New Roman;serif"/>
          <w:b w:val="false"/>
          <w:color w:val="000000"/>
          <w:sz w:val="20"/>
        </w:rPr>
        <w:t xml:space="preserve">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Litigation - </w:t>
      </w:r>
      <w:r>
        <w:rPr>
          <w:rFonts w:ascii="Times New Roman;serif" w:hAnsi="Times New Roman;serif"/>
          <w:b w:val="false"/>
          <w:color w:val="000000"/>
          <w:sz w:val="20"/>
        </w:rPr>
        <w:t xml:space="preserve">The Company’s businesses involve a significant risk of liability given the age and health of the patients and residents served by its independent operating subsidiaries. The Company, its operating subsidiaries,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common in our industry.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potential lawsuits and claims described above, the Company also is subject to potential lawsuits under the False Claims Act (the “FCA”) and comparable state laws alleging submission of fraudulent claims for services to any healthcare program (such as Medicare) or payor. Litigation under the FCA may be commenced by the DOJ or individual plaintiffs alleging a violation of applicable federal laws regarding healthcare payments and service delivery.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Fraud Enforcement and Recovery Act (“FERA”) and its associated rules, healthcare providers face significant penalties for the knowing retention of government overpayments, even if no false claim was involved. Under current regulations, providers have an obligation to return overpayments to CMS within 60 days of “identification” (i.e., a person has identified an overpayment when the person knowingly receives or retains an overpayment with the same knowledge standard under the FCA) or the date any corresponding cost report is due, whichever is later. This 60-day repayment obligation is suspended, however, when a provider is conducting a good faith investigation to determine the existence of related overpayments that may arise from the same (or similar) cause as the originally identified overpayment, and the provider conducts a timely, good-faith investigation to determine whether related overpayments exist.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fines, or penalties,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Medicare Revenue Recoupments - </w:t>
      </w:r>
      <w:r>
        <w:rPr>
          <w:rFonts w:ascii="Times New Roman;serif" w:hAnsi="Times New Roman;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18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September 30, 2026,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Insurance</w:t>
      </w:r>
      <w:r>
        <w:rPr>
          <w:color w:val="000000"/>
        </w:rPr>
        <w:t xml:space="preserve"> </w:t>
      </w:r>
      <w:r>
        <w:rPr>
          <w:rFonts w:ascii="Times New Roman;serif" w:hAnsi="Times New Roman;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$600 corridor as an additional out-of-pocket retention the Company must satisfy for claims within the policy year before the carrier will reimburse losses. The workers’ compensation insurance has a retention limit of $250 per claim, except for policies held in Texas, which has a retention limit of $100 per claim, California, which has a retention limit of $500 per claim, and Washington and Wyoming, which are subject to state insurance and possess their own limits.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2026 and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2025 (the “2025 Annual Report”), which discusses our business and related risks in greater detail, as well as subsequent reports we may file from time to time on Form 10-K, Form 10-Q and Form 8-K, for additional information. The section entitled “Risk Factors” filed within our 2025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risk factors discussed in this Quarterly Report and the 2025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pPr>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federal and state changes to, or delays receiving, reimbursement and other aspects of Medicaid and Medicare, including proposed Medicare reimbursement reductions;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changes in, and compliance with, the laws and regulations affecting the U.S. healthcare industry, and changes based on the outcomes of the 2026 midterm elections and state level elections that may affect how these laws are enacted and enforced in the future;</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proposed changes to payment models and reimbursement amounts within the Medicare and Medicaid fee schedules for future calendar years, including potentially minimal increases in Medicare Advantage rates and payments in the future;</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future cost containment measures undertaken by payors;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government reviews, audits and investigations of our business;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potential additional regulation affecting the transparency, ownership, operating standards, conditions of licensure or participation in certain payment programs, and staffing of businesses in our industry;</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actions of labor unions, including strikes, work stoppages, unfair labor practices claims, or related labor activity;</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leases of our affiliated senior living communities;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inability to complete future acquisitions at attractive prices or at all, and failure to successfully or efficiently integrate new acquisitions into our existing operations and operating subsidiaries;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security breaches and other cyber security incidents; and</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 performance of the financial and credit markets and uncertainties related to our ability to obtain financing or the terms of such financing.</w:t>
      </w:r>
    </w:p>
    <w:p>
      <w:pPr>
        <w:pStyle w:val="TextBody"/>
        <w:bidi w:val="0"/>
        <w:spacing w:before="0" w:after="0"/>
        <w:jc w:val="both"/>
      </w:p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Alabama, Arizona, California, Colorado, Georgia, Idaho, Montana, Nevada, Oklahoma, Oregon, Tennessee, Texas, Utah, Washington, Wisconsin and Wyoming. We also provide home health and hospice operational support through a management service agreement in Connecticut. See Note 9, </w:t>
      </w:r>
      <w:r>
        <w:rPr>
          <w:rFonts w:ascii="Times New Roman;serif" w:hAnsi="Times New Roman;serif"/>
          <w:b w:val="false"/>
          <w:i/>
          <w:color w:val="000000"/>
          <w:sz w:val="20"/>
        </w:rPr>
        <w:t>Equity Method Investment</w:t>
      </w:r>
      <w:r>
        <w:rPr>
          <w:rFonts w:ascii="Times New Roman;serif" w:hAnsi="Times New Roman;serif"/>
          <w:b w:val="false"/>
          <w:color w:val="000000"/>
          <w:sz w:val="20"/>
        </w:rPr>
        <w:t xml:space="preserve">, for further details about our investment in these operations. As of September 30, 2026, our home health and hospice business provided home health, hospice and home care services from 175 agencies operating across these 16 states, and our senior living business operated 70 senior living communities throughout seven states.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pPr>
      <w:r/>
    </w:p>
    <w:tbl>
      <w:tblPr>
        <w:tblW w:w="11176"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308"/>
        <w:gridCol w:w="308"/>
        <w:gridCol w:w="176"/>
        <w:gridCol w:w="109"/>
        <w:gridCol w:w="109"/>
        <w:gridCol w:w="109"/>
        <w:gridCol w:w="308"/>
        <w:gridCol w:w="308"/>
        <w:gridCol w:w="176"/>
        <w:gridCol w:w="109"/>
        <w:gridCol w:w="109"/>
        <w:gridCol w:w="109"/>
        <w:gridCol w:w="309"/>
        <w:gridCol w:w="307"/>
        <w:gridCol w:w="437"/>
      </w:tblGrid>
      <w:t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agencies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Recent Activities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Acquisitions. </w:t>
      </w:r>
      <w:r>
        <w:rPr>
          <w:rFonts w:ascii="Times New Roman;serif" w:hAnsi="Times New Roman;serif"/>
          <w:b w:val="false"/>
          <w:color w:val="000000"/>
          <w:sz w:val="20"/>
        </w:rPr>
        <w:t>During the nine months ended September 30, 2026, we expanded our operations with the addition of seven senior living communities.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disclosed under the heading “Government Regulation” in the 2025 Annual Report a summary of regulations that we believe materially affect our business, financial condition or results of operations. Since the time of the filing of the 2025 Annual Report, the following regulations have been updated.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CMS issued the Fiscal Year (“FY”) 2027 Hospice Wage Index and Payment Rate Update final rule (“Hospice Payment Final Rule”), which took effect October 1, 2026. The Hospice Payment Final Rule’s net payment update percentage is 2.3%, which is an estimated increase of $755 million in payments from fiscal year 2026 in the aggregate across all hospice providers. The payment update percentage is based on a 3.2% market basket percentage increase, reduced by a 0.9% productivity adjustment. In addition, the Hospice Payment Final Rule updates the statutory aggregate cap of the total overall payments per patient that may be made to a hospice annually to $36,174.75 for fiscal year 2027, which is an increase of 2.3% from the 2026 fiscal year cap of $35,361.44.</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The Hospice Payment Final Rule makes a technical change extending a hospice’s ability to use telehealth to conduct encounters that otherwise have to be conducted face-to-face through December 31, 2027, to align with the Consolidated Appropriations Act of 2026 (</w:t>
      </w:r>
      <w:r>
        <w:rPr>
          <w:rFonts w:ascii="Times New Roman;serif" w:hAnsi="Times New Roman;serif"/>
          <w:b w:val="false"/>
          <w:i/>
          <w:color w:val="000000"/>
          <w:sz w:val="20"/>
        </w:rPr>
        <w:t>i.e.</w:t>
      </w:r>
      <w:r>
        <w:rPr>
          <w:rFonts w:ascii="Times New Roman;serif" w:hAnsi="Times New Roman;serif"/>
          <w:b w:val="false"/>
          <w:color w:val="000000"/>
          <w:sz w:val="20"/>
        </w:rPr>
        <w:t>, extension of telehealth waivers through December 31, 2027). Further, CMS has made the hospice election statement addendum, which was originally only provided to hospice patients upon request, mandatory for all hospice elections on or after October 1, 2026 (however, CMS is exercising enforcement discretion of this requirement until December 31, 2026). In publishing the Hospice Payment Final Rule, CMS explained that this requirement will provide beneficiaries additional transparency regarding the items, services, and drugs not covered under Medicare’s hospice benefits, so that those beneficiaries can make appropriate treatment decisions. Finally, as part of the Hospice Quality Reporting Program, CMS will add an icon to the Medicare.gov Compare Tool that will identify hospices failing to submit any data or submitting less than the required quality data beginning in the 2028 fiscal year.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May 13, 2026, CMS announced a six-month, nationwide moratorium on new Medicare enrollment applications for hospice providers and home health agencies (“HHA”); this applies to all initial Medicare enrollment applications and to certain changes in majority ownership of existing enrolled providers. The moratorium does not affect currently enrolled providers. This moratorium was announced in coordination with the Anti-Fraud Task Force focusing on initiatives to combat fraud, waste, and abuse. Also, in connection with such moratorium, CMS announced certain enforcement activity against hospices and HHAs (e.g., suspension of Medicare payments to certain providers). Notably, CMS announced heightened scrutiny of newly enrolled providers in Arizona, California, Georgia, Nevada, Ohio, Oklahoma, and Texas. Following CMS’s announcement of this moratorium, certain states have followed suit: for example, Ohio announced a Medicaid enrollment moratorium on May 14, 2026, through November 14, 2026; Arkansas announced it will no longer accept applications for hospices effective May 13, 2026; and, Nevada announced a temporary pause on the issuance of new state licenses for hospices and HHAs on June 5, 2026. All of these reflect alignment with the federal enrollment moratorium.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2026, the Federal Register published CMS’s CY 2027 Home Health Prospective Payment System proposed rule (“HHA Payment Proposed Rule”). The HHA Payment Proposed Rule includes several changes that, if finalized, could materially impact our home health offerings. Under the HHA Payment Proposed Rule, CMS proposes increasing the aggregate net payments to home health agencies by 2.4%, resulting in an aggregate estimated increase across all home health providers of $420 million in payments compared to CY 2026. The payment update percentage includes a payment increase of 2.1% or $370 million, and a 0.3% update to the fixed dollar loss ratio for outlier payments, representing a $50 million increase in funding.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HHA Payment Proposed Rule also proposes several specific Home Health Quality Reporting Program (“QRP”) proposals. First, CMS proposed to shorten the OASIS assessment data submission and correction deadline to the fifteenth day of the second month after the end of the calendar quarter, beginning with the CY 2027 QRP. Second, CMS proposed aligning the OASIS APU reporting period, which currently begins each July 1 and ends the following June 30, with the calendar year. Third, CMS proposed regulatory changes to transition the QRP noncompliance reconsideration process from letter-based communications to a digital process using communications through CMS’s data submission system to expedite this process.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HHA Payment Proposed Rule also set forth significant changes to Medicare provider and supplier enrollment processes. If adopted, these provisions would apply to any Medicare provider or supplier, consistent with HHS and CMS’s stated priorities of combatting fraud, waste, and abuse. First, CMS proposed to expand the false-or-misleading information basis for denying or revoking enrollment in Medicare so that this lower standard for denial or revocation of enrollment shall be applicable to any and all of CMS’s and Medicare’s provider-enrollment-related forms or documentation. Second, CMS proposed new and expanded grounds for denying enrollment in Medicare, including but not limited to, an applicant’s failure to abide by certain change in majority ownership rules for hospices and HHAs, if that applicant’s licensure or participation in a state or federal program for the payment of healthcare services had been suspended or revoked. Third, CMS proposed to make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Medicare enrollment revocations retroactive to the date the event or circumstance giving rise to revocation began, rather than applying only prospectively and commencing 30 days after CMS or its contractor mails notice of revocation to the provider. Fourth, the HHA Payment Proposed Rule expands the reapplication-bar authority so that CMS may prohibit a prospective provider or supplier from enrolling in Medicare for up to ten years if its prior application is denied for certain reasons defined by regulation, such as noncompliance with enrollment requirements, misconduct, or unpaid claims or debt owed to Medicare. The proposed rule, if adopted, would significantly expand the grounds on which providers or suppliers are barred from re-applying for enrollment in Medicare after a prior enrollment denial, which currently are limited to denials based on false or misleading information. Finally, a series of other enrollment-related changes were proposed including a new general signage requirement, documentation requirements, and clarification of procedures for appeals and rebuttals concerning CMS’s enrollment decisions.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CODM, reviews financial information at the operating segment level using segment adjusted EBITDAR from operations. </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Home Health and Hospice Services</w:t>
      </w:r>
    </w:p>
    <w:p>
      <w:pPr>
        <w:pStyle w:val="TextBody"/>
        <w:bidi w:val="0"/>
        <w:spacing w:before="0" w:after="0"/>
        <w:jc w:val="left"/>
      </w:pPr>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Total home health admissions</w:t>
      </w:r>
      <w:r>
        <w:rPr>
          <w:rFonts w:ascii="Times New Roman;serif" w:hAnsi="Times New Roman;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Total Medicare home health admissions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Average Medicare revenue per completed 60-day home health episode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Total hospice admissions</w:t>
      </w:r>
      <w:r>
        <w:rPr>
          <w:rFonts w:ascii="Times New Roman;serif" w:hAnsi="Times New Roman;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Average hospice daily census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pPr>
      <w:r>
        <w:rPr>
          <w:color w:val="000000"/>
        </w:rPr>
        <w:t>•</w:t>
      </w:r>
      <w:r>
        <w:rPr>
          <w:rFonts w:ascii="Times New Roman;serif" w:hAnsi="Times New Roman;serif"/>
          <w:b/>
          <w:i/>
          <w:color w:val="000000"/>
          <w:sz w:val="20"/>
        </w:rPr>
        <w:t>Hospice Medicare revenue per day</w:t>
      </w:r>
      <w:r>
        <w:rPr>
          <w:rFonts w:ascii="Times New Roman;serif" w:hAnsi="Times New Roman;serif"/>
          <w:b w:val="false"/>
          <w:color w:val="000000"/>
          <w:sz w:val="20"/>
        </w:rPr>
        <w:t>. The average daily Medicare revenue recorded during any measurement period for services provided to hospice patients.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statistics for the periods indicated:</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514"/>
        <w:gridCol w:w="1285"/>
        <w:gridCol w:w="1290"/>
        <w:gridCol w:w="280"/>
        <w:gridCol w:w="818"/>
        <w:gridCol w:w="144"/>
        <w:gridCol w:w="144"/>
        <w:gridCol w:w="144"/>
        <w:gridCol w:w="144"/>
        <w:gridCol w:w="280"/>
        <w:gridCol w:w="818"/>
        <w:gridCol w:w="144"/>
        <w:gridCol w:w="109"/>
        <w:gridCol w:w="109"/>
        <w:gridCol w:w="109"/>
        <w:gridCol w:w="269"/>
        <w:gridCol w:w="788"/>
        <w:gridCol w:w="138"/>
        <w:gridCol w:w="138"/>
        <w:gridCol w:w="138"/>
        <w:gridCol w:w="138"/>
        <w:gridCol w:w="269"/>
        <w:gridCol w:w="788"/>
        <w:gridCol w:w="207"/>
      </w:tblGrid>
      <w:tr>
        <w:tc>
          <w:tcPr>
            <w:tcW w:w="151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hospice daily census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8"/>
        <w:gridCol w:w="2748"/>
        <w:gridCol w:w="389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year-to-date average Medicare revenue per 60-day completed episode includes post-period claim adjustments for prior quarters. </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Living Services</w:t>
      </w:r>
    </w:p>
    <w:p>
      <w:pPr>
        <w:pStyle w:val="TextBody"/>
        <w:bidi w:val="0"/>
        <w:spacing w:before="0" w:after="0"/>
        <w:jc w:val="left"/>
      </w:pPr>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Occupancy</w:t>
      </w:r>
      <w:r>
        <w:rPr>
          <w:rFonts w:ascii="Times New Roman;serif" w:hAnsi="Times New Roman;serif"/>
          <w:b w:val="false"/>
          <w:i/>
          <w:color w:val="000000"/>
          <w:sz w:val="20"/>
        </w:rPr>
        <w:t xml:space="preserve">. </w:t>
      </w:r>
      <w:r>
        <w:rPr>
          <w:rFonts w:ascii="Times New Roman;serif" w:hAnsi="Times New Roman;serif"/>
          <w:b w:val="false"/>
          <w:color w:val="000000"/>
          <w:sz w:val="20"/>
        </w:rPr>
        <w:t>The ratio of actual number of days our units are occupied during any measurement period to the number of units available for occupancy during such measurement period.</w:t>
      </w:r>
    </w:p>
    <w:p>
      <w:pPr>
        <w:pStyle w:val="TextBody"/>
        <w:bidi w:val="0"/>
        <w:spacing w:lineRule="auto" w:line="288" w:before="0" w:after="0"/>
        <w:ind w:left="0" w:right="0" w:hanging="360"/>
        <w:jc w:val="both"/>
      </w:pPr>
      <w:r>
        <w:rPr>
          <w:color w:val="000000"/>
        </w:rPr>
        <w:t>•</w:t>
      </w:r>
      <w:r>
        <w:rPr>
          <w:rFonts w:ascii="Times New Roman;serif" w:hAnsi="Times New Roman;serif"/>
          <w:b/>
          <w:i/>
          <w:color w:val="000000"/>
          <w:sz w:val="20"/>
        </w:rPr>
        <w:t>Average monthly revenue per occupied unit</w:t>
      </w:r>
      <w:r>
        <w:rPr>
          <w:rFonts w:ascii="Times New Roman;serif" w:hAnsi="Times New Roman;serif"/>
          <w:b w:val="false"/>
          <w:color w:val="000000"/>
          <w:sz w:val="20"/>
        </w:rPr>
        <w:t>. The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statistics for the periods indicated:</w:t>
      </w:r>
    </w:p>
    <w:p>
      <w:pPr>
        <w:pStyle w:val="TextBody"/>
        <w:bidi w:val="0"/>
        <w:spacing w:before="0" w:after="0"/>
        <w:ind w:left="0" w:right="0" w:firstLine="720"/>
        <w:jc w:val="left"/>
      </w:pPr>
      <w:r/>
    </w:p>
    <w:tbl>
      <w:tblPr>
        <w:tblW w:w="10177" w:type="dxa"/>
        <w:jc w:val="left"/>
        <w:tblInd w:w="0" w:type="dxa"/>
        <w:tblLayout w:type="fixed"/>
        <w:tblCellMar>
          <w:top w:w="28" w:type="dxa"/>
          <w:left w:w="28" w:type="dxa"/>
          <w:bottom w:w="28" w:type="dxa"/>
          <w:right w:w="28" w:type="dxa"/>
        </w:tblCellMar>
      </w:tblPr>
      <w:tblGrid>
        <w:gridCol w:w="1336"/>
        <w:gridCol w:w="1175"/>
        <w:gridCol w:w="1179"/>
        <w:gridCol w:w="261"/>
        <w:gridCol w:w="762"/>
        <w:gridCol w:w="335"/>
        <w:gridCol w:w="134"/>
        <w:gridCol w:w="134"/>
        <w:gridCol w:w="134"/>
        <w:gridCol w:w="261"/>
        <w:gridCol w:w="762"/>
        <w:gridCol w:w="335"/>
        <w:gridCol w:w="109"/>
        <w:gridCol w:w="109"/>
        <w:gridCol w:w="109"/>
        <w:gridCol w:w="250"/>
        <w:gridCol w:w="730"/>
        <w:gridCol w:w="321"/>
        <w:gridCol w:w="129"/>
        <w:gridCol w:w="129"/>
        <w:gridCol w:w="129"/>
        <w:gridCol w:w="250"/>
        <w:gridCol w:w="730"/>
        <w:gridCol w:w="374"/>
      </w:tblGrid>
      <w:t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Sources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Home Health and Hospice Services </w:t>
      </w:r>
    </w:p>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i/>
          <w:color w:val="000000"/>
          <w:sz w:val="20"/>
        </w:rPr>
        <w:t>Home Health.</w:t>
      </w:r>
      <w:r>
        <w:rPr>
          <w:color w:val="000000"/>
        </w:rPr>
        <w:t xml:space="preserve"> </w:t>
      </w:r>
      <w:r>
        <w:rPr>
          <w:rFonts w:ascii="Times New Roman;serif" w:hAnsi="Times New Roman;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payment periods; (e) changes to the acuity of the patient during the previous 30-day period of care; (f) changes in the base payments established by the Medicare program; (g) adjustments to the base payments for case mix and geographic wages; and (h) recoveries of overpayments. These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pPr>
      <w:r>
        <w:rPr>
          <w:rFonts w:ascii="Times New Roman;serif" w:hAnsi="Times New Roman;serif"/>
          <w:b w:val="false"/>
          <w:color w:val="000000"/>
          <w:sz w:val="20"/>
        </w:rPr>
        <w:t xml:space="preserve">variables are subject to periodic adjustments set by CMS regulations. For further detail regarding PDGM see the </w:t>
      </w:r>
      <w:r>
        <w:rPr>
          <w:rFonts w:ascii="Times New Roman;serif" w:hAnsi="Times New Roman;serif"/>
          <w:b w:val="false"/>
          <w:i/>
          <w:color w:val="000000"/>
          <w:sz w:val="20"/>
        </w:rPr>
        <w:t>Government Regulation</w:t>
      </w:r>
      <w:r>
        <w:rPr>
          <w:color w:val="000000"/>
        </w:rPr>
        <w:t xml:space="preserve"> </w:t>
      </w:r>
      <w:r>
        <w:rPr>
          <w:rFonts w:ascii="Times New Roman;serif" w:hAnsi="Times New Roman;serif"/>
          <w:b w:val="false"/>
          <w:color w:val="000000"/>
          <w:sz w:val="20"/>
        </w:rPr>
        <w:t>section of our 2025 Annual Report.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i/>
          <w:color w:val="000000"/>
          <w:sz w:val="20"/>
        </w:rPr>
        <w:t>Hospice.</w:t>
      </w:r>
      <w:r>
        <w:rPr>
          <w:color w:val="000000"/>
        </w:rPr>
        <w:t xml:space="preserve"> </w:t>
      </w:r>
      <w:r>
        <w:rPr>
          <w:rFonts w:ascii="Times New Roman;serif" w:hAnsi="Times New Roman;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pPr>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 xml:space="preserve">Routine Home Care (“RHC”). </w:t>
      </w:r>
      <w:r>
        <w:rPr>
          <w:rFonts w:ascii="Times New Roman;serif" w:hAnsi="Times New Roman;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 xml:space="preserve">General Inpatient Care. </w:t>
      </w:r>
      <w:r>
        <w:rPr>
          <w:rFonts w:ascii="Times New Roman;serif" w:hAnsi="Times New Roman;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 xml:space="preserve">Continuous Home Care. </w:t>
      </w:r>
      <w:r>
        <w:rPr>
          <w:rFonts w:ascii="Times New Roman;serif" w:hAnsi="Times New Roman;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pPr>
      <w:r>
        <w:rPr>
          <w:color w:val="000000"/>
        </w:rPr>
        <w:t>•</w:t>
      </w:r>
      <w:r>
        <w:rPr>
          <w:rFonts w:ascii="Times New Roman;serif" w:hAnsi="Times New Roman;serif"/>
          <w:b/>
          <w:i/>
          <w:color w:val="000000"/>
          <w:sz w:val="20"/>
        </w:rPr>
        <w:t>Inpatient Respite Care.</w:t>
      </w:r>
      <w:r>
        <w:rPr>
          <w:color w:val="000000"/>
        </w:rPr>
        <w:t xml:space="preserve"> </w:t>
      </w:r>
      <w:r>
        <w:rPr>
          <w:rFonts w:ascii="Times New Roman;serif" w:hAnsi="Times New Roman;serif"/>
          <w:b w:val="false"/>
          <w:color w:val="000000"/>
          <w:sz w:val="20"/>
        </w:rPr>
        <w:t>Short-term, inpatient care to give temporary relief to the caregiver who regularly provides care to the patient.</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CMS has established a two-tiered payment system for RHC services. Hospices are reimbursed at a higher rate for RHC services that are provided for days of service 1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 </w:t>
      </w:r>
    </w:p>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i/>
          <w:color w:val="000000"/>
          <w:sz w:val="20"/>
        </w:rPr>
        <w:t>Senior Living Services</w:t>
      </w:r>
      <w:r>
        <w:rPr>
          <w:rFonts w:ascii="Times New Roman;serif" w:hAnsi="Times New Roman;serif"/>
          <w:b w:val="false"/>
          <w:i/>
          <w:color w:val="000000"/>
          <w:sz w:val="20"/>
        </w:rPr>
        <w:t xml:space="preserve">. </w:t>
      </w:r>
      <w:r>
        <w:rPr>
          <w:rFonts w:ascii="Times New Roman;serif" w:hAnsi="Times New Roman;serif"/>
          <w:b w:val="false"/>
          <w:color w:val="000000"/>
          <w:sz w:val="20"/>
        </w:rPr>
        <w:t>Within our senior living operations, we generate revenue primarily from private pay sources, with a portion earned from Medicaid or other state-specific programs.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Primary Components of Expense </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i/>
          <w:color w:val="000000"/>
          <w:sz w:val="20"/>
        </w:rPr>
        <w:t>Cost of Services (excluding rent, general and administrative expense, and depreciation and amortization)</w:t>
      </w:r>
      <w:r>
        <w:rPr>
          <w:rFonts w:ascii="Times New Roman;serif" w:hAnsi="Times New Roman;serif"/>
          <w:b w:val="false"/>
          <w:color w:val="000000"/>
          <w:sz w:val="20"/>
        </w:rPr>
        <w:t xml:space="preserve">. Our cost of services represents the costs of operating our independent operating subsidiaries, which primarily consists of employee wages and related benefits, share-based compensation, supplies, purchased services, and ancillary expenses such as the cost of pharmacy and therapy services provided to patients and residents.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pPr>
      <w:r>
        <w:rPr>
          <w:rFonts w:ascii="Times New Roman;serif" w:hAnsi="Times New Roman;serif"/>
          <w:b/>
          <w:i/>
          <w:color w:val="000000"/>
          <w:sz w:val="20"/>
        </w:rPr>
        <w:t>Rent—Cost of Services</w:t>
      </w:r>
      <w:r>
        <w:rPr>
          <w:rFonts w:ascii="Times New Roman;serif" w:hAnsi="Times New Roman;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which are included in cost of services and general and administrative expense. </w:t>
      </w:r>
    </w:p>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i/>
          <w:color w:val="000000"/>
          <w:sz w:val="20"/>
        </w:rPr>
        <w:t>General and Administrative Expense</w:t>
      </w:r>
      <w:r>
        <w:rPr>
          <w:rFonts w:ascii="Times New Roman;serif" w:hAnsi="Times New Roman;serif"/>
          <w:b w:val="false"/>
          <w:color w:val="000000"/>
          <w:sz w:val="20"/>
        </w:rPr>
        <w:t>. General and administrative expense consists primarily of employee wages and related benefits and travel expenses for our Service Center personnel in providing training and other operational support. General and administrative expense also includes professional fees (including accounting and legal fees), costs relating to information systems, share-based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pPr>
      <w:r>
        <w:rPr>
          <w:rFonts w:ascii="Times New Roman;serif" w:hAnsi="Times New Roman;serif"/>
          <w:b/>
          <w:i/>
          <w:color w:val="000000"/>
          <w:sz w:val="20"/>
        </w:rPr>
        <w:t>Depreciation and Amortization</w:t>
      </w:r>
      <w:r>
        <w:rPr>
          <w:rFonts w:ascii="Times New Roman;serif" w:hAnsi="Times New Roman;serif"/>
          <w:b w:val="false"/>
          <w:color w:val="000000"/>
          <w:sz w:val="20"/>
        </w:rPr>
        <w:t>. Property and equipment are initially recorded at their historical cost. Depreciation is computed using the straight-line method over the estimated useful lives of the depreciable assets (ranging from one to forty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periods.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within the 2025 Annual Report for further information on our critical accounting estimates and policies, which are as follows:</w:t>
      </w:r>
    </w:p>
    <w:p>
      <w:pPr>
        <w:pStyle w:val="TextBody"/>
        <w:bidi w:val="0"/>
        <w:spacing w:before="0" w:after="0"/>
        <w:jc w:val="left"/>
      </w:pPr>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Self-insurance reserves</w:t>
      </w:r>
      <w:r>
        <w:rPr>
          <w:color w:val="000000"/>
        </w:rPr>
        <w:t xml:space="preserve"> </w:t>
      </w:r>
      <w:r>
        <w:rPr>
          <w:rFonts w:ascii="Times New Roman;serif" w:hAnsi="Times New Roman;serif"/>
          <w:b w:val="false"/>
          <w:color w:val="000000"/>
          <w:sz w:val="20"/>
        </w:rPr>
        <w:t>- The Company is self-insured for general and professional liability, workers’ compensation, automobile, and its employee health plans while maintaining stop-loss coverage with third-party insurers to limit its total liability exposure. The Company accrues amounts equal to the actuarial estimated costs to settle open claims of insureds, as well as an estimate of the costs of insured claims that have been incurred but not reported. We develop information about the size of the ultimate claims based on historical experience, current industry information, and actuarial analysis;</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 The amounts owed by private pay individuals for services and estimate of variable considerations to arrive at the transaction price, including methods and assumptions, used to determine settlements with Medicare and Medicaid adjustments due to audits and reviews; and</w:t>
      </w:r>
    </w:p>
    <w:p>
      <w:pPr>
        <w:pStyle w:val="TextBody"/>
        <w:bidi w:val="0"/>
        <w:spacing w:lineRule="auto" w:line="288" w:before="0" w:after="120"/>
        <w:ind w:left="0" w:right="0" w:hanging="360"/>
        <w:jc w:val="both"/>
      </w:pPr>
      <w:r>
        <w:rPr>
          <w:color w:val="000000"/>
        </w:rPr>
        <w:t>•</w:t>
      </w:r>
      <w:r>
        <w:rPr>
          <w:rFonts w:ascii="Times New Roman;serif" w:hAnsi="Times New Roman;serif"/>
          <w:b/>
          <w:i/>
          <w:color w:val="000000"/>
          <w:sz w:val="20"/>
        </w:rPr>
        <w:t>Acquisition accounting and goodwill</w:t>
      </w:r>
      <w:r>
        <w:rPr>
          <w:color w:val="000000"/>
        </w:rPr>
        <w:t xml:space="preserve"> </w:t>
      </w:r>
      <w:r>
        <w:rPr>
          <w:rFonts w:ascii="Times New Roman;serif" w:hAnsi="Times New Roman;serif"/>
          <w:b w:val="false"/>
          <w:color w:val="000000"/>
          <w:sz w:val="20"/>
        </w:rPr>
        <w:t>- The assumptions used to allocate the purchase price paid for assets acquired and liabilities assumed in connection with our acquisitions, and the review of goodwill for impairment at the Company’s annual impairment test date or upon the occurrence of a triggering event.</w:t>
      </w:r>
    </w:p>
    <w:p>
      <w:pPr>
        <w:pStyle w:val="TextBody"/>
        <w:bidi w:val="0"/>
        <w:spacing w:before="0" w:after="1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pPr>
      <w:r>
        <w:rPr>
          <w:rFonts w:ascii="Times New Roman;serif" w:hAnsi="Times New Roman;serif"/>
          <w:b w:val="false"/>
          <w:color w:val="000000"/>
          <w:sz w:val="20"/>
          <w:shd w:fill="FFFFFF" w:val="clear"/>
        </w:rPr>
        <w:t xml:space="preserve">Information concerning recently issued accounting pronouncements, if applicable, are included in Note 2, </w:t>
      </w:r>
      <w:r>
        <w:rPr>
          <w:rFonts w:ascii="Times New Roman;serif" w:hAnsi="Times New Roman;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erif" w:hAnsi="Times New Roman;serif"/>
          <w:b w:val="false"/>
          <w:color w:val="000000"/>
          <w:sz w:val="20"/>
        </w:rPr>
        <w:t>in the Interim Financial Statements</w:t>
      </w:r>
      <w:r>
        <w:rPr>
          <w:rFonts w:ascii="Times New Roman;serif" w:hAnsi="Times New Roman;serif"/>
          <w:b w:val="false"/>
          <w:color w:val="000000"/>
          <w:sz w:val="20"/>
          <w:shd w:fill="FFFFFF" w:val="clear"/>
        </w:rPr>
        <w:t xml:space="preserve">. </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1421"/>
        <w:gridCol w:w="1156"/>
        <w:gridCol w:w="1146"/>
        <w:gridCol w:w="352"/>
        <w:gridCol w:w="264"/>
        <w:gridCol w:w="543"/>
        <w:gridCol w:w="218"/>
        <w:gridCol w:w="218"/>
        <w:gridCol w:w="218"/>
        <w:gridCol w:w="352"/>
        <w:gridCol w:w="264"/>
        <w:gridCol w:w="543"/>
        <w:gridCol w:w="109"/>
        <w:gridCol w:w="109"/>
        <w:gridCol w:w="109"/>
        <w:gridCol w:w="352"/>
        <w:gridCol w:w="264"/>
        <w:gridCol w:w="525"/>
        <w:gridCol w:w="210"/>
        <w:gridCol w:w="210"/>
        <w:gridCol w:w="210"/>
        <w:gridCol w:w="352"/>
        <w:gridCol w:w="264"/>
        <w:gridCol w:w="525"/>
        <w:gridCol w:w="109"/>
        <w:gridCol w:w="162"/>
      </w:tblGrid>
      <w:tr>
        <w:tc>
          <w:tcPr>
            <w:tcW w:w="142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property and equipment,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GAAP Financial measures for the three and nine months ended September 30, 2026 and 2025: </w:t>
      </w:r>
    </w:p>
    <w:tbl>
      <w:tblPr>
        <w:tblW w:w="10068" w:type="dxa"/>
        <w:jc w:val="center"/>
        <w:tblInd w:w="0" w:type="dxa"/>
        <w:tblLayout w:type="fixed"/>
        <w:tblCellMar>
          <w:top w:w="28" w:type="dxa"/>
          <w:left w:w="28" w:type="dxa"/>
          <w:bottom w:w="28" w:type="dxa"/>
          <w:right w:w="28" w:type="dxa"/>
        </w:tblCellMar>
      </w:tblPr>
      <w:tblGrid>
        <w:gridCol w:w="1299"/>
        <w:gridCol w:w="1141"/>
        <w:gridCol w:w="1144"/>
        <w:gridCol w:w="251"/>
        <w:gridCol w:w="984"/>
        <w:gridCol w:w="129"/>
        <w:gridCol w:w="129"/>
        <w:gridCol w:w="129"/>
        <w:gridCol w:w="129"/>
        <w:gridCol w:w="251"/>
        <w:gridCol w:w="984"/>
        <w:gridCol w:w="129"/>
        <w:gridCol w:w="109"/>
        <w:gridCol w:w="109"/>
        <w:gridCol w:w="109"/>
        <w:gridCol w:w="241"/>
        <w:gridCol w:w="944"/>
        <w:gridCol w:w="124"/>
        <w:gridCol w:w="124"/>
        <w:gridCol w:w="124"/>
        <w:gridCol w:w="124"/>
        <w:gridCol w:w="241"/>
        <w:gridCol w:w="944"/>
        <w:gridCol w:w="176"/>
      </w:tblGrid>
      <w:t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GAAP Financial Measures:</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certain financial information regarding our reportable segments for the periods presented. General and administrative expenses are not allocated to the reportable segments.</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1027"/>
        <w:gridCol w:w="872"/>
        <w:gridCol w:w="878"/>
        <w:gridCol w:w="109"/>
        <w:gridCol w:w="109"/>
        <w:gridCol w:w="109"/>
        <w:gridCol w:w="430"/>
        <w:gridCol w:w="1685"/>
        <w:gridCol w:w="222"/>
        <w:gridCol w:w="109"/>
        <w:gridCol w:w="109"/>
        <w:gridCol w:w="109"/>
        <w:gridCol w:w="334"/>
        <w:gridCol w:w="1145"/>
        <w:gridCol w:w="173"/>
        <w:gridCol w:w="109"/>
        <w:gridCol w:w="109"/>
        <w:gridCol w:w="109"/>
        <w:gridCol w:w="211"/>
        <w:gridCol w:w="616"/>
        <w:gridCol w:w="109"/>
        <w:gridCol w:w="109"/>
        <w:gridCol w:w="109"/>
        <w:gridCol w:w="109"/>
        <w:gridCol w:w="211"/>
        <w:gridCol w:w="826"/>
        <w:gridCol w:w="158"/>
      </w:tblGrid>
      <w:tr>
        <w:tc>
          <w:tcPr>
            <w:tcW w:w="102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41,365 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173,545 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020"/>
        <w:gridCol w:w="866"/>
        <w:gridCol w:w="870"/>
        <w:gridCol w:w="109"/>
        <w:gridCol w:w="109"/>
        <w:gridCol w:w="109"/>
        <w:gridCol w:w="427"/>
        <w:gridCol w:w="1676"/>
        <w:gridCol w:w="221"/>
        <w:gridCol w:w="109"/>
        <w:gridCol w:w="109"/>
        <w:gridCol w:w="109"/>
        <w:gridCol w:w="310"/>
        <w:gridCol w:w="1216"/>
        <w:gridCol w:w="160"/>
        <w:gridCol w:w="109"/>
        <w:gridCol w:w="109"/>
        <w:gridCol w:w="109"/>
        <w:gridCol w:w="211"/>
        <w:gridCol w:w="616"/>
        <w:gridCol w:w="109"/>
        <w:gridCol w:w="109"/>
        <w:gridCol w:w="109"/>
        <w:gridCol w:w="109"/>
        <w:gridCol w:w="211"/>
        <w:gridCol w:w="826"/>
        <w:gridCol w:w="158"/>
      </w:tblGrid>
      <w:tr>
        <w:tc>
          <w:tcPr>
            <w:tcW w:w="10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119,117 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84,027 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468"/>
        <w:gridCol w:w="1233"/>
        <w:gridCol w:w="1240"/>
        <w:gridCol w:w="260"/>
        <w:gridCol w:w="889"/>
        <w:gridCol w:w="134"/>
        <w:gridCol w:w="134"/>
        <w:gridCol w:w="134"/>
        <w:gridCol w:w="134"/>
        <w:gridCol w:w="260"/>
        <w:gridCol w:w="889"/>
        <w:gridCol w:w="134"/>
        <w:gridCol w:w="109"/>
        <w:gridCol w:w="109"/>
        <w:gridCol w:w="109"/>
        <w:gridCol w:w="234"/>
        <w:gridCol w:w="919"/>
        <w:gridCol w:w="120"/>
        <w:gridCol w:w="120"/>
        <w:gridCol w:w="120"/>
        <w:gridCol w:w="120"/>
        <w:gridCol w:w="234"/>
        <w:gridCol w:w="919"/>
        <w:gridCol w:w="183"/>
      </w:tblGrid>
      <w:tr>
        <w:tc>
          <w:tcPr>
            <w:tcW w:w="14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Acquisition related costs</w:t>
            </w:r>
            <w:r>
              <w:rPr>
                <w:rFonts w:ascii="Times New Roman;serif" w:hAnsi="Times New Roman;serif"/>
                <w:b w:val="false"/>
                <w:color w:val="000000"/>
                <w:sz w:val="13"/>
              </w:rPr>
              <w:t>(d)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Transition services costs</w:t>
            </w:r>
            <w:r>
              <w:rPr>
                <w:rFonts w:ascii="Times New Roman;serif" w:hAnsi="Times New Roman;serif"/>
                <w:b w:val="false"/>
                <w:color w:val="000000"/>
                <w:sz w:val="13"/>
              </w:rPr>
              <w:t>(f)</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(g)</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16,512 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1"/>
        <w:gridCol w:w="38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as defined above.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2025 and 2026, the Company received insurance proceeds related to the property which were recorded in Gain on disposition of property and equipment, net on the Consolidated Statements of Income. This affiliate’s operations in 2026 excluding insurance gains are included in start-up operations.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$1,550 and $6,856 for the three and nine months ended September 30, 2026.</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Performance and Valuation Measures:</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1376"/>
        <w:gridCol w:w="1209"/>
        <w:gridCol w:w="1213"/>
        <w:gridCol w:w="268"/>
        <w:gridCol w:w="919"/>
        <w:gridCol w:w="138"/>
        <w:gridCol w:w="138"/>
        <w:gridCol w:w="138"/>
        <w:gridCol w:w="138"/>
        <w:gridCol w:w="268"/>
        <w:gridCol w:w="919"/>
        <w:gridCol w:w="138"/>
        <w:gridCol w:w="109"/>
        <w:gridCol w:w="109"/>
        <w:gridCol w:w="109"/>
        <w:gridCol w:w="248"/>
        <w:gridCol w:w="972"/>
        <w:gridCol w:w="127"/>
        <w:gridCol w:w="127"/>
        <w:gridCol w:w="127"/>
        <w:gridCol w:w="127"/>
        <w:gridCol w:w="248"/>
        <w:gridCol w:w="848"/>
        <w:gridCol w:w="192"/>
      </w:tblGrid>
      <w:tr>
        <w:tc>
          <w:tcPr>
            <w:tcW w:w="137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Non-GAAP Financial Measures:</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Metrics</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Metric</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193" w:type="dxa"/>
        <w:jc w:val="left"/>
        <w:tblInd w:w="0" w:type="dxa"/>
        <w:tblLayout w:type="fixed"/>
        <w:tblCellMar>
          <w:top w:w="28" w:type="dxa"/>
          <w:left w:w="28" w:type="dxa"/>
          <w:bottom w:w="28" w:type="dxa"/>
          <w:right w:w="28" w:type="dxa"/>
        </w:tblCellMar>
      </w:tblPr>
      <w:tblGrid>
        <w:gridCol w:w="1342"/>
        <w:gridCol w:w="1178"/>
        <w:gridCol w:w="1185"/>
        <w:gridCol w:w="273"/>
        <w:gridCol w:w="934"/>
        <w:gridCol w:w="141"/>
        <w:gridCol w:w="141"/>
        <w:gridCol w:w="141"/>
        <w:gridCol w:w="141"/>
        <w:gridCol w:w="273"/>
        <w:gridCol w:w="934"/>
        <w:gridCol w:w="141"/>
        <w:gridCol w:w="109"/>
        <w:gridCol w:w="109"/>
        <w:gridCol w:w="109"/>
        <w:gridCol w:w="251"/>
        <w:gridCol w:w="983"/>
        <w:gridCol w:w="129"/>
        <w:gridCol w:w="129"/>
        <w:gridCol w:w="129"/>
        <w:gridCol w:w="129"/>
        <w:gridCol w:w="251"/>
        <w:gridCol w:w="858"/>
        <w:gridCol w:w="183"/>
      </w:tblGrid>
      <w:t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Segment Non-GAAP Measures:</w:t>
            </w:r>
            <w:r>
              <w:rPr>
                <w:rFonts w:ascii="Times New Roman;serif" w:hAnsi="Times New Roman;serif"/>
                <w:b/>
                <w:color w:val="000000"/>
                <w:sz w:val="13"/>
              </w:rPr>
              <w:t>(a)</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measures, Consolidated EBITDA and Consolidated Adjusted EBITDA, and to the Non-GAAP valuation measure, Consolidated Adjusted EBITDAR, for the periods presented:</w:t>
      </w:r>
    </w:p>
    <w:tbl>
      <w:tblPr>
        <w:tblW w:w="10205" w:type="dxa"/>
        <w:jc w:val="left"/>
        <w:tblInd w:w="0" w:type="dxa"/>
        <w:tblLayout w:type="fixed"/>
        <w:tblCellMar>
          <w:top w:w="28" w:type="dxa"/>
          <w:left w:w="28" w:type="dxa"/>
          <w:bottom w:w="28" w:type="dxa"/>
          <w:right w:w="28" w:type="dxa"/>
        </w:tblCellMar>
      </w:tblPr>
      <w:tblGrid>
        <w:gridCol w:w="1351"/>
        <w:gridCol w:w="1153"/>
        <w:gridCol w:w="1160"/>
        <w:gridCol w:w="263"/>
        <w:gridCol w:w="900"/>
        <w:gridCol w:w="135"/>
        <w:gridCol w:w="135"/>
        <w:gridCol w:w="135"/>
        <w:gridCol w:w="135"/>
        <w:gridCol w:w="263"/>
        <w:gridCol w:w="769"/>
        <w:gridCol w:w="135"/>
        <w:gridCol w:w="109"/>
        <w:gridCol w:w="109"/>
        <w:gridCol w:w="109"/>
        <w:gridCol w:w="239"/>
        <w:gridCol w:w="938"/>
        <w:gridCol w:w="123"/>
        <w:gridCol w:w="123"/>
        <w:gridCol w:w="123"/>
        <w:gridCol w:w="123"/>
        <w:gridCol w:w="239"/>
        <w:gridCol w:w="818"/>
        <w:gridCol w:w="123"/>
        <w:gridCol w:w="109"/>
        <w:gridCol w:w="109"/>
        <w:gridCol w:w="109"/>
        <w:gridCol w:w="168"/>
      </w:tblGrid>
      <w:tr>
        <w:tc>
          <w:tcPr>
            <w:tcW w:w="135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495" w:type="dxa"/>
            <w:gridSpan w:val="4"/>
            <w:tcBorders/>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1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38,448 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110,816 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1"/>
        <w:gridCol w:w="2717"/>
        <w:gridCol w:w="384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2025 and 2026, the Company received insurance proceeds related to the property which were recorded in Gain on disposition of property and equipment, net on the Consolidated Statements of Income. This affiliate’s operations in 2026 excluding insurance gains are included in start-up operations.</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$1,550 and $6,856 for the three and nine months ended September 30, 2026.</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jc w:val="both"/>
      </w:pPr>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Segment Adjusted EBITDAR from Operations to Segment Adjusted EBITDA from Operations for the periods presented:</w:t>
      </w:r>
    </w:p>
    <w:p>
      <w:pPr>
        <w:pStyle w:val="TextBody"/>
        <w:bidi w:val="0"/>
        <w:spacing w:before="0" w:after="0"/>
        <w:ind w:left="0" w:right="0" w:firstLine="720"/>
        <w:jc w:val="both"/>
      </w:p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pPr>
      <w:r/>
    </w:p>
    <w:tbl>
      <w:tblPr>
        <w:tblW w:w="9615" w:type="dxa"/>
        <w:jc w:val="left"/>
        <w:tblInd w:w="0" w:type="dxa"/>
        <w:tblLayout w:type="fixed"/>
        <w:tblCellMar>
          <w:top w:w="28" w:type="dxa"/>
          <w:left w:w="28" w:type="dxa"/>
          <w:bottom w:w="28" w:type="dxa"/>
          <w:right w:w="28" w:type="dxa"/>
        </w:tblCellMar>
      </w:tblPr>
      <w:tblGrid>
        <w:gridCol w:w="1563"/>
        <w:gridCol w:w="1374"/>
        <w:gridCol w:w="138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erif" w:hAnsi="Times New Roman;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pPr>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term of the lease to which the asset applies, the method by which assets were acquired, and differences in capital structures;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w:t>
      </w:r>
    </w:p>
    <w:p>
      <w:pPr>
        <w:pStyle w:val="TextBody"/>
        <w:bidi w:val="0"/>
        <w:spacing w:before="0" w:after="0"/>
        <w:ind w:left="0" w:right="0" w:firstLine="720"/>
        <w:jc w:val="both"/>
      </w:pPr>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to allocate resources to enhance the financial performance of our business;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to assess the value of a potential acquisition;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to assess the value of a transformed operation’s performance;</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to evaluate the effectiveness of our operational strategies; and</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to compare our operating performance to that of our competitors.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and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pPr>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they do not reflect any income tax payments we may be required to make;</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these non-cash charges do not reflect any cash requirements for such replacements; and</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compensate for these limitations by using Non-GAAP Financial Measures only to supplement net income on a basis prepared in accordance with GAAP in order to provide a more complete understanding of the factors and trends affecting our business. </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pPr>
      <w:r>
        <w:rPr>
          <w:rFonts w:ascii="Times New Roman;serif" w:hAnsi="Times New Roman;serif"/>
          <w:b/>
          <w:i/>
          <w:color w:val="000000"/>
          <w:sz w:val="20"/>
        </w:rPr>
        <w:t>Performance Measures:</w:t>
      </w:r>
      <w:r>
        <w:rPr>
          <w:color w:val="000000"/>
        </w:rPr>
        <w:t xml:space="preserve">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EBITDA</w:t>
      </w:r>
    </w:p>
    <w:p>
      <w:pPr>
        <w:pStyle w:val="TextBody"/>
        <w:bidi w:val="0"/>
        <w:spacing w:before="0" w:after="0"/>
        <w:ind w:left="0" w:right="0" w:firstLine="36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EBITDA as net income, adjusted for net income attributable to noncontrolling interest, before (a) interest expense (b) provision for income taxes and (c) depreciation and amortization.</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w:t>
      </w:r>
    </w:p>
    <w:p>
      <w:pPr>
        <w:pStyle w:val="TextBody"/>
        <w:bidi w:val="0"/>
        <w:spacing w:before="0" w:after="0"/>
        <w:ind w:left="0" w:right="0" w:firstLine="36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bidi w:val="0"/>
        <w:spacing w:before="0" w:after="0"/>
        <w:ind w:left="0" w:right="0" w:firstLine="72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Adjusted EBITDA by adjusting Consolidated EBITDA to exclude the effects of non-core business items, which for the reported periods include, to the extent applicable:</w:t>
      </w:r>
    </w:p>
    <w:p>
      <w:pPr>
        <w:pStyle w:val="TextBody"/>
        <w:bidi w:val="0"/>
        <w:spacing w:before="0" w:after="0"/>
        <w:ind w:left="0" w:right="0" w:firstLine="720"/>
        <w:jc w:val="both"/>
      </w:pPr>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0"/>
        </w:rPr>
        <w:t>results at start-up operations;</w:t>
      </w:r>
    </w:p>
    <w:p>
      <w:pPr>
        <w:pStyle w:val="TextBody"/>
        <w:bidi w:val="0"/>
        <w:spacing w:lineRule="auto" w:line="288" w:before="0" w:after="120"/>
        <w:jc w:val="left"/>
      </w:pPr>
      <w:r>
        <w:rPr>
          <w:color w:val="000000"/>
        </w:rPr>
        <w:t>•</w:t>
      </w:r>
      <w:r>
        <w:rPr>
          <w:rFonts w:ascii="Times New Roman;serif" w:hAnsi="Times New Roman;serif"/>
          <w:b w:val="false"/>
          <w:color w:val="000000"/>
          <w:sz w:val="20"/>
        </w:rPr>
        <w:t>share-based compensation expense;</w:t>
      </w:r>
    </w:p>
    <w:p>
      <w:pPr>
        <w:pStyle w:val="TextBody"/>
        <w:bidi w:val="0"/>
        <w:spacing w:lineRule="auto" w:line="288" w:before="0" w:after="120"/>
        <w:jc w:val="left"/>
      </w:pPr>
      <w:r>
        <w:rPr>
          <w:color w:val="000000"/>
        </w:rPr>
        <w:t>•</w:t>
      </w:r>
      <w:r>
        <w:rPr>
          <w:rFonts w:ascii="Times New Roman;serif" w:hAnsi="Times New Roman;serif"/>
          <w:b w:val="false"/>
          <w:color w:val="000000"/>
          <w:sz w:val="20"/>
        </w:rPr>
        <w:t>acquisition related costs;</w:t>
      </w:r>
      <w:r>
        <w:rPr>
          <w:color w:val="000000"/>
          <w:shd w:fill="FFFFFF" w:val="clear"/>
        </w:rPr>
        <w:t xml:space="preserve"> </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0"/>
        </w:rPr>
        <w:t xml:space="preserve">activities associated with transitioning operations;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0"/>
          <w:shd w:fill="FFFFFF" w:val="clear"/>
        </w:rPr>
        <w:t>transition services costs; and</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0"/>
          <w:shd w:fill="FFFFFF" w:val="clear"/>
        </w:rPr>
        <w:t>other unusual, non-recurring, or redundant charges.</w:t>
      </w:r>
    </w:p>
    <w:p>
      <w:pPr>
        <w:pStyle w:val="TextBody"/>
        <w:bidi w:val="0"/>
        <w:spacing w:before="0" w:after="0"/>
        <w:jc w:val="left"/>
      </w:p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 from Operations</w:t>
      </w:r>
    </w:p>
    <w:p>
      <w:pPr>
        <w:pStyle w:val="TextBody"/>
        <w:bidi w:val="0"/>
        <w:spacing w:before="0" w:after="0"/>
        <w:ind w:left="0" w:right="0" w:firstLine="36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pPr>
      <w:r>
        <w:rPr>
          <w:rFonts w:ascii="Times New Roman;serif" w:hAnsi="Times New Roman;serif"/>
          <w:b/>
          <w:i/>
          <w:color w:val="000000"/>
          <w:sz w:val="20"/>
        </w:rPr>
        <w:t>Valuation Measure</w:t>
      </w:r>
      <w:r>
        <w:rPr>
          <w:rFonts w:ascii="Times New Roman;serif" w:hAnsi="Times New Roman;serif"/>
          <w:b/>
          <w:color w:val="000000"/>
          <w:sz w:val="20"/>
        </w:rPr>
        <w:t xml:space="preserve">: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Consolidated Adjusted EBITDAR as one measure in determining the value of prospective acquisitions. It is also a measure commonly used by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start-up operations from Consolidated Adjusted EBITDA.</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Three Months Ended September 30, 2026 Compared to the Three Months Ended September 30, 2025 </w:t>
      </w:r>
    </w:p>
    <w:p>
      <w:pPr>
        <w:pStyle w:val="TextBody"/>
        <w:bidi w:val="0"/>
        <w:spacing w:lineRule="auto" w:line="288" w:before="0" w:after="0"/>
        <w:jc w:val="left"/>
      </w:pPr>
      <w:r>
        <w:rPr>
          <w:rFonts w:ascii="Times New Roman;serif" w:hAnsi="Times New Roman;serif"/>
          <w:b/>
          <w:i/>
          <w:color w:val="000000"/>
          <w:sz w:val="20"/>
        </w:rPr>
        <w:t>Revenue</w:t>
      </w:r>
      <w:r>
        <w:rPr>
          <w:color w:val="000000"/>
        </w:rPr>
        <w:t xml:space="preserve"> </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302,251 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$73.2 million, or 32.0%, during the three months ended September 30, 2026. We experienced growth of $66.2 million from increased operational performance in our Home Health and Hospice segment from increased admissions and census, primarily driven by newly acquired agencies when compared to the three months ended September 30, 2025. The growth in our Senior Living segment resulted in an increase in revenue of $7.0 million driven by acquired senior living communities and an improved average rate per occupied room.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594"/>
        <w:gridCol w:w="1368"/>
        <w:gridCol w:w="1376"/>
        <w:gridCol w:w="245"/>
        <w:gridCol w:w="961"/>
        <w:gridCol w:w="126"/>
        <w:gridCol w:w="126"/>
        <w:gridCol w:w="126"/>
        <w:gridCol w:w="126"/>
        <w:gridCol w:w="245"/>
        <w:gridCol w:w="961"/>
        <w:gridCol w:w="126"/>
        <w:gridCol w:w="109"/>
        <w:gridCol w:w="109"/>
        <w:gridCol w:w="109"/>
        <w:gridCol w:w="211"/>
        <w:gridCol w:w="721"/>
        <w:gridCol w:w="109"/>
        <w:gridCol w:w="109"/>
        <w:gridCol w:w="109"/>
        <w:gridCol w:w="109"/>
        <w:gridCol w:w="255"/>
        <w:gridCol w:w="256"/>
        <w:gridCol w:w="619"/>
      </w:tblGrid>
      <w:tr>
        <w:tc>
          <w:tcPr>
            <w:tcW w:w="159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Medicare revenue per 60-day completed episode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hospice census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Home health and hospice revenue increased $66.2 million, or 38.2%, for the three months ended September 30, 2026 compared to the prior year quarter. Revenue grew due to an increase in certain key performance indicators, including an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of 39.4% in total home health admissions, inclusive of an increase in total Medicare home health admissions of 38.0%, an increase in total hospice admissions of 31.8%, and an increase in average daily hospice census of 34.6% during the three months ended September 30, 2026 compared to the prior year quarter. Growth was also driven by the addition of thirty-four home health and hospice operations between September 30, 2025 and September 30, 2026. Agencies acquired during fiscal year 2025 and year-to-date September 30, 2026 drove an increase in revenue of $50.1 million, representing an increase of 28.9% compared to the prior year quarter.</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Living Services</w:t>
      </w:r>
    </w:p>
    <w:tbl>
      <w:tblPr>
        <w:tblW w:w="9682" w:type="dxa"/>
        <w:jc w:val="left"/>
        <w:tblInd w:w="0" w:type="dxa"/>
        <w:tblLayout w:type="fixed"/>
        <w:tblCellMar>
          <w:top w:w="28" w:type="dxa"/>
          <w:left w:w="28" w:type="dxa"/>
          <w:bottom w:w="28" w:type="dxa"/>
          <w:right w:w="28" w:type="dxa"/>
        </w:tblCellMar>
      </w:tblPr>
      <w:tblGrid>
        <w:gridCol w:w="1334"/>
        <w:gridCol w:w="1174"/>
        <w:gridCol w:w="1181"/>
        <w:gridCol w:w="240"/>
        <w:gridCol w:w="823"/>
        <w:gridCol w:w="309"/>
        <w:gridCol w:w="124"/>
        <w:gridCol w:w="124"/>
        <w:gridCol w:w="124"/>
        <w:gridCol w:w="240"/>
        <w:gridCol w:w="823"/>
        <w:gridCol w:w="309"/>
        <w:gridCol w:w="109"/>
        <w:gridCol w:w="109"/>
        <w:gridCol w:w="109"/>
        <w:gridCol w:w="211"/>
        <w:gridCol w:w="616"/>
        <w:gridCol w:w="271"/>
        <w:gridCol w:w="109"/>
        <w:gridCol w:w="109"/>
        <w:gridCol w:w="109"/>
        <w:gridCol w:w="255"/>
        <w:gridCol w:w="256"/>
        <w:gridCol w:w="614"/>
      </w:tblGrid>
      <w:t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0"/>
        </w:rPr>
        <w:t>Senior living revenue increased $7.0 million, or 12.6%, for the three months ended September 30, 2026 compared to the prior year quarter. Revenue grew due to an increase of 3.7% in average monthly revenue per occupied unit between September 30, 2025</w:t>
      </w:r>
      <w:r>
        <w:rPr>
          <w:color w:val="000000"/>
          <w:shd w:fill="FFFFFF" w:val="clear"/>
        </w:rPr>
        <w:t xml:space="preserve"> </w:t>
      </w:r>
      <w:r>
        <w:rPr>
          <w:rFonts w:ascii="Times New Roman;serif" w:hAnsi="Times New Roman;serif"/>
          <w:b w:val="false"/>
          <w:color w:val="000000"/>
          <w:sz w:val="20"/>
          <w:shd w:fill="FFFFFF" w:val="clear"/>
        </w:rPr>
        <w:t xml:space="preserve">and September 30, 2026. </w:t>
      </w:r>
      <w:r>
        <w:rPr>
          <w:rFonts w:ascii="Times New Roman;serif" w:hAnsi="Times New Roman;serif"/>
          <w:b w:val="false"/>
          <w:color w:val="000000"/>
          <w:sz w:val="20"/>
        </w:rPr>
        <w:t xml:space="preserve">Growth was also driven by the addition of nine senior living communities between September 30, 2025 and September 30, 2026. Communities acquired during fiscal year 2025 and year-to-date September 30, 2026 drove an increase in revenue of $5.6 million, representing an increase of 10.0% compared to the prior year quarter.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i/>
          <w:color w:val="000000"/>
          <w:sz w:val="20"/>
        </w:rPr>
        <w:t>Cost of Services</w:t>
      </w:r>
      <w:r>
        <w:rPr>
          <w:color w:val="000000"/>
        </w:rPr>
        <w:t xml:space="preserve"> </w:t>
      </w:r>
    </w:p>
    <w:p>
      <w:pPr>
        <w:pStyle w:val="TextBody"/>
        <w:bidi w:val="0"/>
        <w:spacing w:before="0" w:after="0"/>
        <w:ind w:left="0" w:right="0" w:firstLine="720"/>
        <w:jc w:val="both"/>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pPr>
      <w:r/>
    </w:p>
    <w:tbl>
      <w:tblPr>
        <w:tblW w:w="8170" w:type="dxa"/>
        <w:jc w:val="left"/>
        <w:tblInd w:w="0" w:type="dxa"/>
        <w:tblLayout w:type="fixed"/>
        <w:tblCellMar>
          <w:top w:w="28" w:type="dxa"/>
          <w:left w:w="28" w:type="dxa"/>
          <w:bottom w:w="28" w:type="dxa"/>
          <w:right w:w="28" w:type="dxa"/>
        </w:tblCellMar>
      </w:tblPr>
      <w:tblGrid>
        <w:gridCol w:w="810"/>
        <w:gridCol w:w="710"/>
        <w:gridCol w:w="715"/>
        <w:gridCol w:w="251"/>
        <w:gridCol w:w="984"/>
        <w:gridCol w:w="129"/>
        <w:gridCol w:w="129"/>
        <w:gridCol w:w="129"/>
        <w:gridCol w:w="129"/>
        <w:gridCol w:w="251"/>
        <w:gridCol w:w="984"/>
        <w:gridCol w:w="129"/>
        <w:gridCol w:w="109"/>
        <w:gridCol w:w="109"/>
        <w:gridCol w:w="109"/>
        <w:gridCol w:w="211"/>
        <w:gridCol w:w="721"/>
        <w:gridCol w:w="109"/>
        <w:gridCol w:w="109"/>
        <w:gridCol w:w="109"/>
        <w:gridCol w:w="109"/>
        <w:gridCol w:w="255"/>
        <w:gridCol w:w="256"/>
        <w:gridCol w:w="614"/>
      </w:tblGrid>
      <w:t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248,131 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consolidated cost of services increased $62.7 million, or 33.8%, for the three months ended September 30, 2026 when compared to the three months ended September 30, 2025. Cost of services as a percentage of revenue increased by 110 basis points from 81.0% to 82.1% for the three months ended September 30, 2026 when compared to the three months ended September 30, 2025. </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p>
      <w:pPr>
        <w:pStyle w:val="TextBody"/>
        <w:bidi w:val="0"/>
        <w:spacing w:before="0" w:after="0"/>
        <w:jc w:val="both"/>
      </w:pPr>
      <w:r/>
    </w:p>
    <w:tbl>
      <w:tblPr>
        <w:tblW w:w="9667" w:type="dxa"/>
        <w:jc w:val="left"/>
        <w:tblInd w:w="0" w:type="dxa"/>
        <w:tblLayout w:type="fixed"/>
        <w:tblCellMar>
          <w:top w:w="28" w:type="dxa"/>
          <w:left w:w="28" w:type="dxa"/>
          <w:bottom w:w="28" w:type="dxa"/>
          <w:right w:w="28" w:type="dxa"/>
        </w:tblCellMar>
      </w:tblPr>
      <w:tblGrid>
        <w:gridCol w:w="1292"/>
        <w:gridCol w:w="1138"/>
        <w:gridCol w:w="1140"/>
        <w:gridCol w:w="223"/>
        <w:gridCol w:w="875"/>
        <w:gridCol w:w="287"/>
        <w:gridCol w:w="115"/>
        <w:gridCol w:w="115"/>
        <w:gridCol w:w="115"/>
        <w:gridCol w:w="223"/>
        <w:gridCol w:w="875"/>
        <w:gridCol w:w="287"/>
        <w:gridCol w:w="109"/>
        <w:gridCol w:w="109"/>
        <w:gridCol w:w="109"/>
        <w:gridCol w:w="211"/>
        <w:gridCol w:w="721"/>
        <w:gridCol w:w="271"/>
        <w:gridCol w:w="109"/>
        <w:gridCol w:w="109"/>
        <w:gridCol w:w="109"/>
        <w:gridCol w:w="255"/>
        <w:gridCol w:w="256"/>
        <w:gridCol w:w="614"/>
      </w:tblGrid>
      <w:t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$56.4 million, or 38.9%, for the three months ended September 30, 2026 when compared to the three months ended September 30, 2025, primarily due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increased volume of services provided and transition costs related to acquisitions. Cost of services as a percentage of revenue for the three months ended September 30, 2026 increased 50 basis points when compared to the three months ended September 30, 2025, primarily due to higher cost patterns at newly acquired operations. </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p>
      <w:pPr>
        <w:pStyle w:val="TextBody"/>
        <w:bidi w:val="0"/>
        <w:spacing w:before="0" w:after="0"/>
        <w:jc w:val="both"/>
      </w:pPr>
      <w:r/>
    </w:p>
    <w:tbl>
      <w:tblPr>
        <w:tblW w:w="9563" w:type="dxa"/>
        <w:jc w:val="left"/>
        <w:tblInd w:w="0" w:type="dxa"/>
        <w:tblLayout w:type="fixed"/>
        <w:tblCellMar>
          <w:top w:w="28" w:type="dxa"/>
          <w:left w:w="28" w:type="dxa"/>
          <w:bottom w:w="28" w:type="dxa"/>
          <w:right w:w="28" w:type="dxa"/>
        </w:tblCellMar>
      </w:tblPr>
      <w:tblGrid>
        <w:gridCol w:w="1292"/>
        <w:gridCol w:w="1138"/>
        <w:gridCol w:w="1140"/>
        <w:gridCol w:w="240"/>
        <w:gridCol w:w="823"/>
        <w:gridCol w:w="309"/>
        <w:gridCol w:w="124"/>
        <w:gridCol w:w="124"/>
        <w:gridCol w:w="124"/>
        <w:gridCol w:w="240"/>
        <w:gridCol w:w="823"/>
        <w:gridCol w:w="309"/>
        <w:gridCol w:w="109"/>
        <w:gridCol w:w="109"/>
        <w:gridCol w:w="109"/>
        <w:gridCol w:w="211"/>
        <w:gridCol w:w="616"/>
        <w:gridCol w:w="271"/>
        <w:gridCol w:w="109"/>
        <w:gridCol w:w="109"/>
        <w:gridCol w:w="109"/>
        <w:gridCol w:w="255"/>
        <w:gridCol w:w="256"/>
        <w:gridCol w:w="614"/>
      </w:tblGrid>
      <w:t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related to our Senior Living Services segment increased $6.3 million, or 15.5%, for the three months ended September 30, 2026 when compared to the three months ended September 30, 2025, primarily due to increased wages and benefits and acquisition activity. As a percentage of revenue, costs of service increased by 200 basis points for the three months ended September 30, 2026 when compared to the three months ended September 30, 2025, primarily due to higher cost patterns at newly acquired operations.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Rent—Cost of Services</w:t>
      </w:r>
      <w:r>
        <w:rPr>
          <w:rFonts w:ascii="Times New Roman;serif" w:hAnsi="Times New Roman;serif"/>
          <w:b w:val="false"/>
          <w:color w:val="000000"/>
          <w:sz w:val="20"/>
        </w:rPr>
        <w:t>. Rent expense increased 14.4% from $12.1 million to $13.8 million in the three months ended September 30, 2026 when compared to the three months ended September 30, 2025, primarily as a result of the new leases related to the acquired home health and hospice operations and senior living communities. Rent as a percentage of total revenue decreased 70 basis points from 5.3% for the three months ended September 30, 2025, compared to 4.6% for the three months ended September 30, 2026.</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Our general and administrative expense increased $1.3 million, or 6.9%, from $19.3 million to $20.6 million for the three months ended September 30, 2026 when compared to the three months ended September 30, 2025. The primary driver of the increase in general and administrative expense was due to an increase in payroll, incentives, and related benefits for the three months ended September 30, 2026 when compared to the three months ended September 30, 2025. General and administrative expense as a percentage of revenue decreased 160 basis points from 8.4% to 6.8% during the period. The primary driver behind the higher percentage of general and administrative expense for the three months ended September 30, 2025 was due to the evaluation of and preparation for the large UnitedHealth acquisition that occurred October 1, 2025, while the lower percentage of general and administrative expense for the three months ended September 30, 2026 was due to the additional revenue from the UnitedHealth acquisition.</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 xml:space="preserve">Depreciation and amortization expense increased $1.6 million, or 78.6%, from $2.1 million to $3.7 million for the three months ended September 30, 2026 when compared to the three months ended September 30, 2025. The increase in depreciation and amortization was due to the increase in overall property and equipment, net balances driven in part by acquisition activity.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Gain on disposition of property and equipment, net. </w:t>
      </w:r>
      <w:r>
        <w:rPr>
          <w:rFonts w:ascii="Times New Roman;serif" w:hAnsi="Times New Roman;serif"/>
          <w:b w:val="false"/>
          <w:color w:val="000000"/>
          <w:sz w:val="20"/>
        </w:rPr>
        <w:t>We recorded a gain of $0.5 million for insurance proceeds received in excess of the carrying values of related assets during the three months ended September 30, 2026. We recorded a net gain of $0.1 million during the three months ended September 30, 2025.</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$3.1 million and $2.5 million, or 22.0% and 26.8% of earnings before income taxes, for the three months ended September 30, 2026 and 2025, respectively. The decrease in the effective tax rate is primarily attributable to excess tax benefits from share-based compensation.</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i/>
          <w:color w:val="000000"/>
          <w:sz w:val="20"/>
        </w:rPr>
        <w:t>Revenue</w:t>
      </w:r>
      <w:r>
        <w:rPr>
          <w:color w:val="000000"/>
        </w:rPr>
        <w:t xml:space="preserve"> </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499,455 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885,599 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$227.2 million, or 34.5%, during the nine months ended September 30, 2026. We experienced growth of $207.2 million from increased operational performance in our Home Health and Hospice segment from increased admissions and census, in part driven by newly acquired agencies when compared to the nine months ended September 30, 2025. The growth in our Senior Living segment resulted in an increase in revenue of $20.0 million driven by acquired senior living communities and an improved average rate per occupied room. </w:t>
      </w:r>
    </w:p>
    <w:p>
      <w:pPr>
        <w:pStyle w:val="TextBody"/>
        <w:bidi w:val="0"/>
        <w:spacing w:before="0" w:after="0"/>
        <w:ind w:left="0" w:right="0" w:firstLine="720"/>
        <w:jc w:val="both"/>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595"/>
        <w:gridCol w:w="1368"/>
        <w:gridCol w:w="1376"/>
        <w:gridCol w:w="236"/>
        <w:gridCol w:w="929"/>
        <w:gridCol w:w="121"/>
        <w:gridCol w:w="121"/>
        <w:gridCol w:w="121"/>
        <w:gridCol w:w="121"/>
        <w:gridCol w:w="236"/>
        <w:gridCol w:w="929"/>
        <w:gridCol w:w="121"/>
        <w:gridCol w:w="109"/>
        <w:gridCol w:w="109"/>
        <w:gridCol w:w="109"/>
        <w:gridCol w:w="211"/>
        <w:gridCol w:w="826"/>
        <w:gridCol w:w="109"/>
        <w:gridCol w:w="109"/>
        <w:gridCol w:w="109"/>
        <w:gridCol w:w="109"/>
        <w:gridCol w:w="255"/>
        <w:gridCol w:w="256"/>
        <w:gridCol w:w="620"/>
      </w:tblGrid>
      <w:tr>
        <w:tc>
          <w:tcPr>
            <w:tcW w:w="159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499,455 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year-to-date average for Medicare revenue per 60-day completed episode includes post period claim adjustments for prior periods.</w:t>
            </w:r>
          </w:p>
        </w:tc>
      </w:tr>
    </w:tbl>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Home health and hospice revenue increased $207.2 million, or 41.5%, during the nine months ended September 30, 2026 compared to the same period in the prior year primarily due to an increase of 54.3% in home health admissions, inclusive of an increase in total Medicare home health admissions of 60.4%, an increase of 32.3% in hospice admissions, and an increase in hospice average daily census of 36.1%. Growth was also driven by the addition of thirty-four home health and hospice operations between September 30, 2025 and September 30, 2026. Agencies acquired during fiscal year 2025 and year-to-date September 30, 2026 drove an increase in revenue of $159.2 million, representing an increase of 31.9% compared to the same period in the prior year.</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Living Services</w:t>
      </w:r>
    </w:p>
    <w:p>
      <w:pPr>
        <w:pStyle w:val="TextBody"/>
        <w:bidi w:val="0"/>
        <w:spacing w:before="0" w:after="0"/>
        <w:jc w:val="left"/>
      </w:pPr>
      <w:r/>
    </w:p>
    <w:tbl>
      <w:tblPr>
        <w:tblW w:w="9670" w:type="dxa"/>
        <w:jc w:val="left"/>
        <w:tblInd w:w="0" w:type="dxa"/>
        <w:tblLayout w:type="fixed"/>
        <w:tblCellMar>
          <w:top w:w="28" w:type="dxa"/>
          <w:left w:w="28" w:type="dxa"/>
          <w:bottom w:w="28" w:type="dxa"/>
          <w:right w:w="28" w:type="dxa"/>
        </w:tblCellMar>
      </w:tblPr>
      <w:tblGrid>
        <w:gridCol w:w="1334"/>
        <w:gridCol w:w="1174"/>
        <w:gridCol w:w="1181"/>
        <w:gridCol w:w="215"/>
        <w:gridCol w:w="842"/>
        <w:gridCol w:w="276"/>
        <w:gridCol w:w="111"/>
        <w:gridCol w:w="111"/>
        <w:gridCol w:w="111"/>
        <w:gridCol w:w="215"/>
        <w:gridCol w:w="842"/>
        <w:gridCol w:w="276"/>
        <w:gridCol w:w="109"/>
        <w:gridCol w:w="109"/>
        <w:gridCol w:w="109"/>
        <w:gridCol w:w="211"/>
        <w:gridCol w:w="721"/>
        <w:gridCol w:w="271"/>
        <w:gridCol w:w="109"/>
        <w:gridCol w:w="109"/>
        <w:gridCol w:w="109"/>
        <w:gridCol w:w="255"/>
        <w:gridCol w:w="256"/>
        <w:gridCol w:w="614"/>
      </w:tblGrid>
      <w:t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Senior living revenue increased $20.0 million, or 12.6%, for the nine months ended September 30, 2026 compared to the same period in the prior year primarily due to the addition of nine senior living communities and an increase of 4.0% in average monthly revenue per occupied unit between September 30, 2025 and September 30, 2026. Communities acquired during fiscal year 2025 and year-to-date September 30, 2026 drove an increase in revenue of $11.5 million, representing an increase of 7.2% compared to the same period in the prior year.</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i/>
          <w:color w:val="000000"/>
          <w:sz w:val="20"/>
        </w:rPr>
        <w:t>Cost of Services</w:t>
      </w:r>
      <w:r>
        <w:rPr>
          <w:color w:val="000000"/>
        </w:rPr>
        <w:t xml:space="preserve"> </w:t>
      </w:r>
    </w:p>
    <w:tbl>
      <w:tblPr>
        <w:tblW w:w="8154" w:type="dxa"/>
        <w:jc w:val="left"/>
        <w:tblInd w:w="0" w:type="dxa"/>
        <w:tblLayout w:type="fixed"/>
        <w:tblCellMar>
          <w:top w:w="28" w:type="dxa"/>
          <w:left w:w="28" w:type="dxa"/>
          <w:bottom w:w="28" w:type="dxa"/>
          <w:right w:w="28" w:type="dxa"/>
        </w:tblCellMar>
      </w:tblPr>
      <w:tblGrid>
        <w:gridCol w:w="810"/>
        <w:gridCol w:w="710"/>
        <w:gridCol w:w="715"/>
        <w:gridCol w:w="241"/>
        <w:gridCol w:w="946"/>
        <w:gridCol w:w="124"/>
        <w:gridCol w:w="124"/>
        <w:gridCol w:w="124"/>
        <w:gridCol w:w="124"/>
        <w:gridCol w:w="241"/>
        <w:gridCol w:w="946"/>
        <w:gridCol w:w="124"/>
        <w:gridCol w:w="109"/>
        <w:gridCol w:w="109"/>
        <w:gridCol w:w="109"/>
        <w:gridCol w:w="211"/>
        <w:gridCol w:w="826"/>
        <w:gridCol w:w="109"/>
        <w:gridCol w:w="109"/>
        <w:gridCol w:w="109"/>
        <w:gridCol w:w="109"/>
        <w:gridCol w:w="255"/>
        <w:gridCol w:w="256"/>
        <w:gridCol w:w="614"/>
      </w:tblGrid>
      <w:t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723,428 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531,450 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Consolidated cost of services increased $192.0 million, or 36.1%, during the nine months ended September 30, 2026 compared to the same period in the prior year. Cost of services as a percentage of revenue for the nine months ended September 30, 2026 increased by 90 basis points to 81.7% from 80.8% compared to the nine months ended September 30,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9655" w:type="dxa"/>
        <w:jc w:val="left"/>
        <w:tblInd w:w="0" w:type="dxa"/>
        <w:tblLayout w:type="fixed"/>
        <w:tblCellMar>
          <w:top w:w="28" w:type="dxa"/>
          <w:left w:w="28" w:type="dxa"/>
          <w:bottom w:w="28" w:type="dxa"/>
          <w:right w:w="28" w:type="dxa"/>
        </w:tblCellMar>
      </w:tblPr>
      <w:tblGrid>
        <w:gridCol w:w="1290"/>
        <w:gridCol w:w="1136"/>
        <w:gridCol w:w="1143"/>
        <w:gridCol w:w="215"/>
        <w:gridCol w:w="842"/>
        <w:gridCol w:w="276"/>
        <w:gridCol w:w="111"/>
        <w:gridCol w:w="111"/>
        <w:gridCol w:w="111"/>
        <w:gridCol w:w="215"/>
        <w:gridCol w:w="842"/>
        <w:gridCol w:w="276"/>
        <w:gridCol w:w="109"/>
        <w:gridCol w:w="109"/>
        <w:gridCol w:w="109"/>
        <w:gridCol w:w="211"/>
        <w:gridCol w:w="826"/>
        <w:gridCol w:w="271"/>
        <w:gridCol w:w="109"/>
        <w:gridCol w:w="109"/>
        <w:gridCol w:w="109"/>
        <w:gridCol w:w="255"/>
        <w:gridCol w:w="256"/>
        <w:gridCol w:w="614"/>
      </w:tblGrid>
      <w:t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591,197 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415,979 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$175.2 million, or 42.1%, compared to the same period in the prior year primarily due to the increased volume of services from the growth in admissions and average daily census. Cost of services as a percentage of revenue for the nine months ended September 30, 2026 increased by 40 basis points compared to the nine months ended September 30, 2025, primarily due to higher cost patterns at newly acquired operations. </w:t>
      </w: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tbl>
      <w:tblPr>
        <w:tblW w:w="9550" w:type="dxa"/>
        <w:jc w:val="left"/>
        <w:tblInd w:w="0" w:type="dxa"/>
        <w:tblLayout w:type="fixed"/>
        <w:tblCellMar>
          <w:top w:w="28" w:type="dxa"/>
          <w:left w:w="28" w:type="dxa"/>
          <w:bottom w:w="28" w:type="dxa"/>
          <w:right w:w="28" w:type="dxa"/>
        </w:tblCellMar>
      </w:tblPr>
      <w:tblGrid>
        <w:gridCol w:w="1290"/>
        <w:gridCol w:w="1136"/>
        <w:gridCol w:w="1143"/>
        <w:gridCol w:w="215"/>
        <w:gridCol w:w="842"/>
        <w:gridCol w:w="276"/>
        <w:gridCol w:w="111"/>
        <w:gridCol w:w="111"/>
        <w:gridCol w:w="111"/>
        <w:gridCol w:w="215"/>
        <w:gridCol w:w="842"/>
        <w:gridCol w:w="276"/>
        <w:gridCol w:w="109"/>
        <w:gridCol w:w="109"/>
        <w:gridCol w:w="109"/>
        <w:gridCol w:w="211"/>
        <w:gridCol w:w="721"/>
        <w:gridCol w:w="271"/>
        <w:gridCol w:w="109"/>
        <w:gridCol w:w="109"/>
        <w:gridCol w:w="109"/>
        <w:gridCol w:w="255"/>
        <w:gridCol w:w="256"/>
        <w:gridCol w:w="614"/>
      </w:tblGrid>
      <w:t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related to our Senior Living services segment increased $16.8 million, or 14.5%, during the nine months ended September 30, 2026 compared to the same period in the prior year primarily due to increased wages and benefits and acquisition activity. As a percentage of revenue, costs of service increased by 120 basis points during the nine months ended September 30, 2026 when compared to the nine months ended September 30, 2025, primarily due to higher cost patterns at newly acquired operations.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Rent—Cost of Services</w:t>
      </w:r>
      <w:r>
        <w:rPr>
          <w:rFonts w:ascii="Times New Roman;serif" w:hAnsi="Times New Roman;serif"/>
          <w:b w:val="false"/>
          <w:color w:val="000000"/>
          <w:sz w:val="20"/>
        </w:rPr>
        <w:t>. Rent increased 12.9% from $35.7 million to $40.3 million during the nine months ended September 30, 2026 compared to the same period in the prior year, primarily as a result of the new leases related to the acquired home health and hospice operations and senior living communities. As a percentage of revenue, rent</w:t>
      </w:r>
      <w:r>
        <w:rPr>
          <w:color w:val="000000"/>
        </w:rPr>
        <w:t>—</w:t>
      </w:r>
      <w:r>
        <w:rPr>
          <w:rFonts w:ascii="Times New Roman;serif" w:hAnsi="Times New Roman;serif"/>
          <w:b w:val="false"/>
          <w:color w:val="000000"/>
          <w:sz w:val="20"/>
        </w:rPr>
        <w:t>cost of services decreased 80 basis points when compared to the nine months ended September 30, 2025.</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Our general and administrative expense increased $10.2 million, or 19.7%, from $51.7 million to $61.9 million for the nine months ended September 30, 2026 when compared to the nine months ended September 30, 2025. The increase in general and administrative expense was due to an increase in payroll, incentive, and related benefits, along with increased professional services for the nine months ended September 30, 2026 when compared to the nine months ended September 30, 2025. General and administrative expense as a percentage of revenue decreased 90 basis points from 7.9% to 7.0% during the period. The primary driver behind the higher percentage of general and administrative expense for the nine months ended September 30, 2025 was due to the evaluation of and preparation for the large UnitedHealth acquisition that occurred October 1, 2025, while the lower percentage of general and administrative expense for the nine months ended September 30, 2026 was due to the additional revenue from the UnitedHealth acquisition.</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increased $3.2 million, or 52.3%, from $6.2 million to $9.4 million for the nine months ended September 30, 2026 when compared to the nine months ended September 30, 2025. The increase in depreciation and amortization was due to the increase in overall property and equipment, net balances driven primarily by acquisition activity.</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Gain on disposition of property and equipment, net. </w:t>
      </w:r>
      <w:r>
        <w:rPr>
          <w:rFonts w:ascii="Times New Roman;serif" w:hAnsi="Times New Roman;serif"/>
          <w:b w:val="false"/>
          <w:color w:val="000000"/>
          <w:sz w:val="20"/>
        </w:rPr>
        <w:t xml:space="preserve">We recorded a gain of $0.5 million for insurance proceeds received in excess of the carrying values of related assets during the nine months ended September 30, 2026. We recorded a net gain of $1.1 million primarily due to insurance proceeds received in excess of the carrying values of related assets during the nine months ended September 30, 2025.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$10.8 million and $8.0 million, or 25.2% and 25.4% of earnings before income taxes, for the nine months ended September 30, 2026 and 2025, respectively. The decrease in the effective tax rate is primarily attributable to excess tax benefits from share-based compensation.</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net cash provided by operating activities and borrowings under our Amended Revolving Credit Facility.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Revolving Credit Facility</w:t>
      </w:r>
      <w:r>
        <w:rPr>
          <w:color w:val="000000"/>
        </w:rPr>
        <w:t>    </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July 2029. The Company is permitted to prepay all or any portion of the loans under the Amended Revolving Credit Facility prior to maturity without premium or penalty, subject to reimbursement of any SOFR breakage costs of the lenders. </w:t>
      </w: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2025, Pennant entered into the First Amendment to Amended and Restated Credit Agreement (the “First Amendment”), which provides for an incremental term loan with an aggregate principal amount of $100.0 million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The Company used the proceeds of the Incremental Term Loans to refinance a portion of the outstanding revolving loans under the Amended Revolving Credit Facility and to pay fees and expenses incurred in connection with the First Amendment.</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2026, the Company was compliant with all such financial covenants.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252525"/>
          <w:sz w:val="20"/>
        </w:rPr>
        <w:t>As of</w:t>
      </w:r>
      <w:r>
        <w:rPr>
          <w:color w:val="000000"/>
        </w:rPr>
        <w:t xml:space="preserve"> </w:t>
      </w:r>
      <w:r>
        <w:rPr>
          <w:rFonts w:ascii="Times New Roman;serif" w:hAnsi="Times New Roman;serif"/>
          <w:b w:val="false"/>
          <w:color w:val="000000"/>
          <w:sz w:val="20"/>
        </w:rPr>
        <w:t xml:space="preserve">September 30, 2026, we had $18.4 million of cash and $143.6 million of available borrowing capacity on our Amended Revolving Credit Facility.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generated through operations, and access to available borrowing capacity under our Amended Credit Agreement, will be sufficient to provide adequate liquidity for the next twelve months for both our operating activities and for opportunities of acquisition growth. </w:t>
      </w:r>
    </w:p>
    <w:p>
      <w:pPr>
        <w:pStyle w:val="TextBody"/>
        <w:bidi w:val="0"/>
        <w:spacing w:before="0" w:after="0"/>
        <w:ind w:left="0" w:right="0" w:firstLine="720"/>
        <w:jc w:val="both"/>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 of Cash Flows for the periods presented: </w:t>
      </w:r>
    </w:p>
    <w:tbl>
      <w:tblPr>
        <w:tblW w:w="6941" w:type="dxa"/>
        <w:jc w:val="left"/>
        <w:tblInd w:w="0" w:type="dxa"/>
        <w:tblLayout w:type="fixed"/>
        <w:tblCellMar>
          <w:top w:w="28" w:type="dxa"/>
          <w:left w:w="28" w:type="dxa"/>
          <w:bottom w:w="28" w:type="dxa"/>
          <w:right w:w="28" w:type="dxa"/>
        </w:tblCellMar>
      </w:tblPr>
      <w:tblGrid>
        <w:gridCol w:w="1254"/>
        <w:gridCol w:w="1104"/>
        <w:gridCol w:w="1107"/>
        <w:gridCol w:w="262"/>
        <w:gridCol w:w="898"/>
        <w:gridCol w:w="135"/>
        <w:gridCol w:w="135"/>
        <w:gridCol w:w="135"/>
        <w:gridCol w:w="135"/>
        <w:gridCol w:w="262"/>
        <w:gridCol w:w="898"/>
        <w:gridCol w:w="135"/>
        <w:gridCol w:w="109"/>
        <w:gridCol w:w="109"/>
        <w:gridCol w:w="109"/>
        <w:gridCol w:w="154"/>
      </w:tblGrid>
      <w:t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w:t>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Nine Months Ended September 30, 2026 Compared to the Nine Months Ended September 30,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for the nine months ended September 30, 2026 increased by $16.2 million when compared to the nine months ended September 30, 2025. The primary driver of this difference was an increase in net income of $8.9 million, an increase of $10.2 million in non-cash adjustments, offset by a decrease in cash flows from the change in operating assets and liabilities of $2.9 million, net.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for the nine months ended September 30, 2026 decreased by $6.5 million compared to the nine months ended September 30, 2025, primarily driven by a decrease in business acquisitions.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provided by financing activities increased by approximately $0.6 million for the nine months ended September 30, 2026 compared to the nine months ended September 30, 2025. The increase was primarily due the net issuance of common stock due to share based compensation of $5.2 million offset by a decrease in the net amount drawn on our line of credit used primarily to fund acquisition activity of $1.8 million and distributions to noncontrolling interest of $2.7 million during the nine months ended September 30, 2026 compared to the nine months ended September 30, 2025.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 Commitments and Contingencies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We continue to make draws and payments on our Amended Revolving Credit Facility, as described in Note 13, </w:t>
      </w:r>
      <w:r>
        <w:rPr>
          <w:rFonts w:ascii="Times New Roman;serif" w:hAnsi="Times New Roman;serif"/>
          <w:b w:val="false"/>
          <w:i/>
          <w:color w:val="000000"/>
          <w:sz w:val="20"/>
        </w:rPr>
        <w:t>Debt</w:t>
      </w:r>
      <w:r>
        <w:rPr>
          <w:rFonts w:ascii="Times New Roman;serif" w:hAnsi="Times New Roman;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pPr>
      <w:r>
        <w:rPr>
          <w:rFonts w:ascii="Times New Roman;serif" w:hAnsi="Times New Roman;serif"/>
          <w:b w:val="false"/>
          <w:color w:val="000000"/>
          <w:sz w:val="20"/>
        </w:rPr>
        <w:t xml:space="preserve">Condensed Consolidated Statements of Cash Flows and in Note 12,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to the Interim Financial Statements in Part I of this Quarterly Report.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those transactions, there have been no other material changes to our total obligations during the period covered by this Quarterly Report outside of the normal course of our business.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i/>
          <w:color w:val="000000"/>
          <w:sz w:val="20"/>
        </w:rPr>
        <w:t>Interest Rate Risk</w:t>
      </w:r>
      <w:r>
        <w:rPr>
          <w:rFonts w:ascii="Times New Roman;serif" w:hAnsi="Times New Roman;serif"/>
          <w:b w:val="false"/>
          <w:color w:val="000000"/>
          <w:sz w:val="20"/>
        </w:rPr>
        <w:t xml:space="preserve">. We are exposed to risks associated with market changes in interest rates. On July 31, 2024, Pennant entered into the Amended Credit Agreement, which provides for a revolving credit facility with a syndicate of banks with a borrowing capacity of $250.0 million. On November 3, 2025, Pennant entered into the First Amendment, which provides for an incremental term loan with an aggregate principal amount of $100.0 million. A 1.0% interest rate change would cause interest expense to change by approximately $2.0 million annually based upon our outstanding long-term debt as of September 30, 2026. We manage our exposure to this market risk by examining available financing alternatives.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0"/>
        </w:rPr>
        <w:t xml:space="preserve">We have disclosed under the heading “Risk Factors” in the 2025 Annual Report risk factors that materially affect our business, financial condition or results of operations, and disclosed more recent events relevant to our business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You should carefully consider the risk factors set forth in the 2025 Annual Report and the other information set forth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filing of our 2025 Annual Report on February 26, 2026, the following addition has been made to the risk factors previously disclosed.</w:t>
      </w:r>
    </w:p>
    <w:p>
      <w:pPr>
        <w:pStyle w:val="TextBody"/>
        <w:bidi w:val="0"/>
        <w:spacing w:before="0" w:after="0"/>
        <w:ind w:left="0" w:right="0" w:firstLine="720"/>
        <w:jc w:val="both"/>
      </w:pPr>
      <w:r/>
    </w:p>
    <w:p>
      <w:pPr>
        <w:pStyle w:val="TextBody"/>
        <w:bidi w:val="0"/>
        <w:spacing w:lineRule="auto" w:line="288" w:before="0" w:after="0"/>
        <w:jc w:val="both"/>
      </w:pPr>
      <w:r>
        <w:rPr>
          <w:rFonts w:ascii="Times New Roman;serif" w:hAnsi="Times New Roman;serif"/>
          <w:b/>
          <w:i/>
          <w:color w:val="000000"/>
          <w:sz w:val="20"/>
        </w:rPr>
        <w:t>The Increasing Use of Artificial Intelligence Creates or Increases Regulatory and Business Risks That May Have a Material Impact on Our Results.</w:t>
      </w:r>
      <w:r>
        <w:rPr>
          <w:color w:val="000000"/>
        </w:rPr>
        <w:t xml:space="preserve"> </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increasingly incorporating artificial intelligence ("AI") and machine learning technologies into certain aspects of our operations. AI is also embedded in or utilized by third-party systems and vendor products on which we rely, in ways that may or may not be apparent, and which may interact with certain aspects of our business that are or may be regulated by federal or state law, including the privacy and use of patient and client information, and decisions regarding resource allocation and utilization. The inherent complexity of AI models may make it difficult to understand how decisions are made, and certain methodologies may lack transparency or explainability.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AI models may produce inaccurate, incomplete, or biased outputs due to limitations in data quality, biased training data, flawed algorithms, or changing data patterns. If AI-supported processes result in errors affecting clinical decision-making, patient care, administrative operations, or other aspects of our business, we could experience adverse patient outcomes, legal claims, regulatory enforcement, and reputational harm. Use of insecure or unauthorized cybersecurity applications, or cybersecurity attacks against us or our third-party service providers, could compromise sensitive patient information, including protected health information, and result in operational disruption, regulatory investigations or penalties, litigation, remediation costs, and reputational harm. There is also a risk that our confidential information or protected health information could become part of an AI model accessible to third-party applications or users as a result of a cybersecurity incident or a vendor's violation of its contractual obligations, which could create new privacy obligations under state and federal laws governing the privacy of patient health information, including the creation of new business associate obligations under HIPAA, and heighten the risk of data breaches or unauthorized use of protected health information.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legal and regulatory landscape governing AI in healthcare is rapidly evolving at the federal, state, and international levels. Changes in the laws or regulations, or uncertainty regarding their interpretation and enforcement, may increase our compliance costs, require modifications to our operations or technologies, restrict our use of AI, or render our current practices non-compliant. If we or our third-party providers fail to comply with applicable AI laws and regulations, we could face legal proceedings, investigations, penalties, and reputational harm.</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compete effectively may depend in part on our ability to develop, adopt, and deploy AI technologies in a timely and cost-effective manner, while still being subject to the regulatory requirements discussed above. If we are unable to do so, or if our competitors or new market entrants deploy AI more effectively, our competitive position could be adversely affected.</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Plan Election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John G. Nackel, Director, entered into a Rule 10b5-1 trading arrangement on September 1, 2026 (the "Rule 10b5-1 Plan"). Mr. Nackel’s 10b5-1 Plan provides for the potential sale of 40,000 shares of the Company's common stock between the adoption date of the Rule 10b5-1 Plan and its expiration on September 30, 2027.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Nackel’s Rule 10b5-1 trading arrangement was entered into during an open trading window and is intended to satisfy the affirmative defense conditions of Rule 10b5-1(c) under the Securities Exchange Act of 1934, as amended, and the Company's policies regarding transactions in Company securities.</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Bylaws of The Pennant Group, Inc., effective as of February 21, 2022 (incorporated by reference to Exhibit 3.1 to The Pennant Group, Inc.’s Current Report on Form 8-K (File No. 001-38900) filed with the SEC on February 22, 2022).</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5" w:type="dxa"/>
            <w:gridSpan w:val="3"/>
            <w:tcBorders/>
            <w:vAlign w:val="center"/>
          </w:tcPr>
          <w:p>
            <w:pPr>
              <w:pStyle w:val="TableContents"/>
              <w:bidi w:val="0"/>
              <w:spacing w:before="0" w:after="283"/>
              <w:jc w:val="left"/>
              <w:rPr>
                <w:sz w:val="4"/>
                <w:szCs w:val="4"/>
              </w:rPr>
            </w:pPr>
            <w:r>
              <w:rPr>
                <w:sz w:val="4"/>
                <w:szCs w:val="4"/>
              </w:rPr>
            </w:r>
          </w:p>
        </w:tc>
      </w:tr>
      <w:t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5" w:type="dxa"/>
            <w:gridSpan w:val="3"/>
            <w:tcBorders/>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eocert-ex311q32026draft.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focert-ex312q32026draft.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eocert-ex321q32026draft.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focert-ex322q32026draft.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pPr>
      <w:hyperlink w:anchor="ib695317811634630933c0e3fd82f4b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862" w:type="dxa"/>
        <w:jc w:val="left"/>
        <w:tblInd w:w="0" w:type="dxa"/>
        <w:tblLayout w:type="fixed"/>
        <w:tblCellMar>
          <w:top w:w="28" w:type="dxa"/>
          <w:left w:w="28" w:type="dxa"/>
          <w:bottom w:w="28" w:type="dxa"/>
          <w:right w:w="28" w:type="dxa"/>
        </w:tblCellMar>
      </w:tblPr>
      <w:tblGrid>
        <w:gridCol w:w="797"/>
        <w:gridCol w:w="700"/>
        <w:gridCol w:w="707"/>
        <w:gridCol w:w="328"/>
        <w:gridCol w:w="328"/>
        <w:gridCol w:w="328"/>
        <w:gridCol w:w="1940"/>
        <w:gridCol w:w="1940"/>
        <w:gridCol w:w="2794"/>
      </w:tblGrid>
      <w:t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4, 2026</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  </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Duly Authorized Officer)</w:t>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center"/>
      </w:pPr>
      <w:r/>
    </w:p>
    <w:p>
      <w:pPr>
        <w:pStyle w:val="TextBody"/>
        <w:bidi w:val="0"/>
        <w:ind w:left="0" w:right="0" w:firstLine="72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Brent J. Guerisoli, certify that: </w:t>
      </w:r>
    </w:p>
    <w:p>
      <w:pPr>
        <w:pStyle w:val="TextBody"/>
        <w:bidi w:val="0"/>
        <w:spacing w:before="0" w:after="0"/>
        <w:jc w:val="both"/>
      </w:p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4, 2026</w:t>
      </w:r>
    </w:p>
    <w:tbl>
      <w:tblPr>
        <w:tblW w:w="5870"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31"/>
        <w:gridCol w:w="731"/>
        <w:gridCol w:w="731"/>
        <w:gridCol w:w="731"/>
        <w:gridCol w:w="731"/>
        <w:gridCol w:w="754"/>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w:t>
            </w:r>
          </w:p>
        </w:tc>
        <w:tc>
          <w:tcPr>
            <w:tcW w:w="440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4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Lynette B. Walbom, certify that: </w:t>
      </w:r>
    </w:p>
    <w:p>
      <w:pPr>
        <w:pStyle w:val="TextBody"/>
        <w:bidi w:val="0"/>
        <w:spacing w:before="0" w:after="0"/>
        <w:jc w:val="both"/>
      </w:p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pPr>
      <w:r/>
    </w:p>
    <w:p>
      <w:pPr>
        <w:pStyle w:val="TextBody"/>
        <w:bidi w:val="0"/>
        <w:spacing w:before="0" w:after="0"/>
        <w:ind w:left="0" w:right="0" w:hanging="36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711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September 30, 2026,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p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7"/>
        <w:gridCol w:w="587"/>
        <w:gridCol w:w="587"/>
        <w:gridCol w:w="655"/>
        <w:gridCol w:w="587"/>
        <w:gridCol w:w="587"/>
        <w:gridCol w:w="668"/>
        <w:gridCol w:w="587"/>
        <w:gridCol w:w="587"/>
        <w:gridCol w:w="587"/>
        <w:gridCol w:w="587"/>
        <w:gridCol w:w="587"/>
        <w:gridCol w:w="587"/>
        <w:gridCol w:w="587"/>
        <w:gridCol w:w="84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J. GUERISOLI</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6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September 30, 2026,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503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26420</Words>
  <Characters>149298</Characters>
  <CharactersWithSpaces>173949</CharactersWithSpaces>
  <Paragraphs>3700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