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pPr>
      <w:r>
        <w:rPr>
          <w:color w:val="000000"/>
        </w:rPr>
        <w:t> </w:t>
      </w:r>
      <w:r>
        <w:rPr>
          <w:rFonts w:ascii="Times New Roman;serif" w:hAnsi="Times New Roman;serif"/>
          <w:b/>
          <w:color w:val="000000"/>
          <w:sz w:val="28"/>
        </w:rPr>
        <w:t>UNITED STATES</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May 6, 2026</w:t>
      </w:r>
      <w:r>
        <w:rPr>
          <w:color w:val="000000"/>
        </w:rPr>
        <w:t xml:space="preserve">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Pennant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001-38900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83-3349931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498" w:type="dxa"/>
        <w:jc w:val="center"/>
        <w:tblInd w:w="0" w:type="dxa"/>
        <w:tblLayout w:type="fixed"/>
        <w:tblCellMar>
          <w:top w:w="28" w:type="dxa"/>
          <w:left w:w="28" w:type="dxa"/>
          <w:bottom w:w="28" w:type="dxa"/>
          <w:right w:w="28" w:type="dxa"/>
        </w:tblCellMar>
      </w:tblPr>
      <w:tblGrid>
        <w:gridCol w:w="536"/>
        <w:gridCol w:w="471"/>
        <w:gridCol w:w="471"/>
        <w:gridCol w:w="471"/>
        <w:gridCol w:w="471"/>
        <w:gridCol w:w="471"/>
        <w:gridCol w:w="471"/>
        <w:gridCol w:w="471"/>
        <w:gridCol w:w="665"/>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1675 E Riverside Drive, Suite 150,</w:t>
            </w:r>
          </w:p>
        </w:tc>
      </w:tr>
      <w:tr>
        <w:trPr/>
        <w:tc>
          <w:tcPr>
            <w:tcW w:w="44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Eagle, ID 83616</w:t>
            </w:r>
          </w:p>
        </w:tc>
      </w:tr>
      <w:tr>
        <w:trPr/>
        <w:tc>
          <w:tcPr>
            <w:tcW w:w="4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bl>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(208) 401-1400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Indicate by check mark whether the registrant is an emerging growth company as defined in Rule 405 of the Securities Act of 1933 (</w:t>
      </w:r>
      <w:r>
        <w:rPr>
          <w:rFonts w:ascii="Times New Roman;serif" w:hAnsi="Times New Roman;serif"/>
          <w:b w:val="false"/>
          <w:color w:val="000000"/>
          <w:sz w:val="22"/>
        </w:rPr>
        <w:t>§</w:t>
      </w:r>
      <w:r>
        <w:rPr>
          <w:rFonts w:ascii="Times New Roman;serif" w:hAnsi="Times New Roman;serif"/>
          <w:b w:val="false"/>
          <w:color w:val="000000"/>
          <w:sz w:val="18"/>
        </w:rPr>
        <w:t>230.405 of this chapter) or Rule 12b-2 of the Securities Exchange Act of 1934 (</w:t>
      </w:r>
      <w:r>
        <w:rPr>
          <w:rFonts w:ascii="Times New Roman;serif" w:hAnsi="Times New Roman;serif"/>
          <w:b w:val="false"/>
          <w:color w:val="000000"/>
          <w:sz w:val="22"/>
        </w:rPr>
        <w:t>§</w:t>
      </w:r>
      <w:r>
        <w:rPr>
          <w:rFonts w:ascii="Times New Roman;serif" w:hAnsi="Times New Roman;serif"/>
          <w:b w:val="false"/>
          <w:color w:val="000000"/>
          <w:sz w:val="18"/>
        </w:rPr>
        <w:t>240.12b-2 of this chapter).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On May 6, 2026, The Pennant Group, Inc. (the </w:t>
      </w:r>
      <w:r>
        <w:rPr>
          <w:color w:val="212529"/>
        </w:rPr>
        <w:t>“</w:t>
      </w:r>
      <w:r>
        <w:rPr>
          <w:rFonts w:ascii="Times New Roman;serif" w:hAnsi="Times New Roman;serif"/>
          <w:b w:val="false"/>
          <w:color w:val="212529"/>
          <w:sz w:val="20"/>
        </w:rPr>
        <w:t>Company”</w:t>
      </w:r>
      <w:r>
        <w:rPr>
          <w:rFonts w:ascii="Times New Roman;serif" w:hAnsi="Times New Roman;serif"/>
          <w:b w:val="false"/>
          <w:color w:val="000000"/>
          <w:sz w:val="20"/>
        </w:rPr>
        <w:t xml:space="preserve">) issued a press release reporting the financial results of the Company for its first quarter ended March 31, 2026. A copy of the press release is attached to this Current Report as Exhibit 99.1.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Company will post on its website an updated investor presentation for use at upcoming investor meetings. Please visit investor.pennantgroup.com to access the new presentation materials.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The information furnished pursuant to Item 2.02 and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0"/>
        <w:gridCol w:w="334"/>
        <w:gridCol w:w="336"/>
        <w:gridCol w:w="109"/>
        <w:gridCol w:w="109"/>
        <w:gridCol w:w="109"/>
        <w:gridCol w:w="2584"/>
        <w:gridCol w:w="2584"/>
        <w:gridCol w:w="3660"/>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earnings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the Company dated May 6, 2026.</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32" w:type="dxa"/>
        <w:jc w:val="left"/>
        <w:tblInd w:w="0" w:type="dxa"/>
        <w:tblLayout w:type="fixed"/>
        <w:tblCellMar>
          <w:top w:w="28" w:type="dxa"/>
          <w:left w:w="28" w:type="dxa"/>
          <w:bottom w:w="28" w:type="dxa"/>
          <w:right w:w="28" w:type="dxa"/>
        </w:tblCellMar>
      </w:tblPr>
      <w:tblGrid>
        <w:gridCol w:w="629"/>
        <w:gridCol w:w="553"/>
        <w:gridCol w:w="558"/>
        <w:gridCol w:w="284"/>
        <w:gridCol w:w="284"/>
        <w:gridCol w:w="284"/>
        <w:gridCol w:w="394"/>
        <w:gridCol w:w="394"/>
        <w:gridCol w:w="394"/>
        <w:gridCol w:w="394"/>
        <w:gridCol w:w="394"/>
        <w:gridCol w:w="39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332"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ind w:left="0" w:right="0" w:firstLine="40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6496050" cy="1295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496050" cy="1295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37" w:before="0" w:after="0"/>
        <w:jc w:val="center"/>
        <w:rPr>
          <w:rFonts w:ascii="Times New Roman;serif" w:hAnsi="Times New Roman;serif"/>
          <w:b/>
          <w:color w:val="000000"/>
          <w:sz w:val="32"/>
        </w:rPr>
      </w:pPr>
      <w:r>
        <w:rPr>
          <w:rFonts w:ascii="Times New Roman;serif" w:hAnsi="Times New Roman;serif"/>
          <w:b/>
          <w:color w:val="000000"/>
          <w:sz w:val="32"/>
        </w:rPr>
        <w:t>Pennant Reports First Quarter 2026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Conference Call and Webcast scheduled for tomorrow, May 7, 2026 at 10:00 am MT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EAGLE, Idaho – May 6, 2026 (GLOBE NEWSWIRE) - The Pennant Group, Inc. (NASDAQ: PNTG), the parent company of the </w:t>
      </w:r>
      <w:r>
        <w:rPr>
          <w:rFonts w:ascii="Times New Roman;serif" w:hAnsi="Times New Roman;serif"/>
          <w:b w:val="false"/>
          <w:color w:val="000000"/>
          <w:sz w:val="22"/>
          <w:shd w:fill="FFFFFF" w:val="clear"/>
        </w:rPr>
        <w:t xml:space="preserve">Pennant group of affiliated </w:t>
      </w:r>
      <w:r>
        <w:rPr>
          <w:rFonts w:ascii="Times New Roman;serif" w:hAnsi="Times New Roman;serif"/>
          <w:b w:val="false"/>
          <w:color w:val="000000"/>
          <w:sz w:val="22"/>
        </w:rPr>
        <w:t>home health, hospice and senior living companies, today announced its operating results, reporting GAAP diluted earnings per share of $0.24 for the first quarter of 2026. Pennant also reported adjusted diluted earnings per share of $0.32 for the quarter</w:t>
      </w:r>
      <w:r>
        <w:rPr>
          <w:rFonts w:ascii="Times New Roman;serif" w:hAnsi="Times New Roman;serif"/>
          <w:b w:val="false"/>
          <w:color w:val="000000"/>
          <w:sz w:val="14"/>
        </w:rPr>
        <w:t>(1)</w:t>
      </w:r>
      <w:r>
        <w:rPr>
          <w:rFonts w:ascii="Times New Roman;serif" w:hAnsi="Times New Roman;serif"/>
          <w:b w:val="false"/>
          <w:color w:val="000000"/>
          <w:sz w:val="22"/>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First Quarter Highlights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Total revenue for the first quarter was $285.4 million, an increase of $75.5 million or 36.0% over the prior year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income for the first quarter was $8.5 million, a increase of $0.7 million or 9.6%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Adjusted net income for the first quarter was $11.5 million, an increase of $1.9 million or 19.8%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Consolidated Adjusted EBITDAR for the first quarter was $34.7 million, an increase of $6.7 million or 23.9% over the prior year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Consolidated Adjusted EBITDA for the first quarter was $21.7 million, an increase of $5.3 million or 32.6% over the prior year quarter;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Consolidated Adjusted EBITDA prior to NCI for the first quarter was $23.5 million, an increase of $6.4 million or 37.2% over the prior year quarter;</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Home Health and Hospice Services segment revenue for the first quarter was $229.1 million, an increase of $69.2 million or 43.3% over the prior year quarter;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Home Health and Hospice Services segment adjusted EBITDAR from operations for the first quarter was $36.8 million, an increase of $9.5 million or 34.9% over the prior year quarter; and segment adjusted EBITDA from operations for the first quarter was $33.6 million, an increase of $8.5 million or 33.7% over the prior year quarter;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Total home health admissions for the first quarter were 30,721, an increase of 11,843 or 62.7% over the prior year quarter; total Medicare home health admissions for the first quarter were 13,303, an increase of 5,704 or 75.1% over the prior year quarter;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Hospice average daily census for the first quarter was 5,199, an increase of 1,405 or 37.0% compared to the prior year quarter;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Senior Living Services segment revenue for the first quarter was $56.3 million, an increase of $6.3 million or 12.6% over the prior year quarter; average occupancy for the first quarter was 78.6%, an increase of 10 basis points over the prior year quarter, and average monthly revenue per occupied room for the first quarter was $5,388, an increase of $195 or 3.8% over the prior year quarter;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Senior Living segment adjusted EBITDAR from operations for the first quarter was $16.3 million, an increase of $1.8 million or 12.6% over the prior year quarter; and segment adjusted EBITDA from operations for the first quarter was $6.4 million, an increase of $1.5 million or 30.6% over the prior year quarter. </w:t>
      </w:r>
    </w:p>
    <w:p>
      <w:pPr>
        <w:pStyle w:val="TextBody"/>
        <w:bidi w:val="0"/>
        <w:spacing w:before="0" w:after="0"/>
        <w:jc w:val="both"/>
        <w:rPr/>
      </w:pPr>
      <w:r>
        <w:rPr/>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9"/>
        <w:gridCol w:w="1459"/>
        <w:gridCol w:w="2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i/>
                <w:color w:val="000000"/>
                <w:sz w:val="16"/>
              </w:rPr>
            </w:pPr>
            <w:r>
              <w:rPr>
                <w:rFonts w:ascii="Times New Roman;serif" w:hAnsi="Times New Roman;serif"/>
                <w:b/>
                <w:i/>
                <w:color w:val="000000"/>
                <w:sz w:val="16"/>
              </w:rPr>
              <w:t>See "Reconciliation of GAAP to Non-GAAP Financial Information.”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Operating Results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Pennant is off to a strong start in 2026,” said Brent Guerisoli, the Company’s Chief Executive Officer. “After a year of dramatic expansion, we are driving operational excellence across both segments, including at our newly-acquired operations in the southeast, even as we complete their integration. That process is unfolding in line with our expectations, and we now have two of five waves of operations fully transitioned, leaders in place across the acquired agencies, and a total census above acquisition levels. When paired with the momentum in our mature businesses, we have the ingredients for a successful year.”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Our mature operations continue to grow and deliver compelling results,” said John Gochnour, the Company’s Chief Operating Officer. “We have maintained rigor across our operations, where we are pushing for operational excellence at every level. Despite the heavy demands of integrating over 50 operations in the southeast and the headwinds of a 1.3% home health reimbursement cut, our same store margins improved, we saw strong year over year organic census and occupancy growth, and clinical outcomes continued to excel. As we continue to transition new operations and incrementally reduce duplicative expenses, we will unlock additional latent potential across our operations and drive margins toward our long term targets.”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discussion of the Company’s use of Non-GAAP financial measures is set forth below. Reconciliations of net income to EBITDA, adjusted EBITDAR, adjusted EBITDA, and adjusted EBITDA prior to NCI, as well as a reconciliation of GAAP earnings per share, net income to adjusted net earnings per share and adjusted net income, appear in the financial data portion of this release. More complete information is contained in the Company’s Form 10-Q for the three months ended March 31, 2026, which will be filed with the SEC and will be available to be viewed on the Company’s website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 xml:space="preserve">Conference Call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live webcast will be held tomorrow, May 7, 2026 at 10:00 a.m. Mountain time (12:00 p.m. Eastern time) to discuss Pennant’s first quarter 2026 financial results. To listen to the webcast, or to view any financial or statistical information required by SEC Regulation G, please visit the Investors Relations section of Pennant’s website at https://investor.pennantgroup.com. The webcast will be recorded and will be available for replay via the website.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About Pennant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Pennant Group, Inc. is a holding company of independent operating subsidiaries that provide healthcare services through 174 home health and hospice agencies and 63 senior living communities located throughout Arizona, California, Colorado, Idaho, Montana, Nevada, Oklahoma, Oregon, Texas, Utah, Washington, Wisconsin and Wyoming. Each of these businesses is operated by a separate, independent operating subsidiary that has its own management, employees and assets. References herein to the consolidated "company" and "its" assets and activities, as well as the use of the terms "we," "us," "its" and similar verbiage, are not meant to imply that The Pennant Group, Inc. has direct operating assets, employees or revenue, or that any of the home health and hospice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businesses, senior living communities or the Service Center are operated by the same entity. More information about Pennant is available at www.pennantgroup.com.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2"/>
          <w:u w:val="single"/>
        </w:rPr>
      </w:pPr>
      <w:r>
        <w:rPr>
          <w:rFonts w:ascii="Times New Roman;serif" w:hAnsi="Times New Roman;serif"/>
          <w:b/>
          <w:i/>
          <w:color w:val="000000"/>
          <w:sz w:val="22"/>
          <w:u w:val="single"/>
        </w:rPr>
        <w:t>Safe Harbor Statement under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contains, and the related conference call and webcast will include, forward-looking statements that are based on management’s current expectations, assumptions and beliefs about its business, financial performance, operating results, the industry in which it operates and other future events.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include, but are not limited to, statements regarding growth prospects, future operating and financial performance, and acquisition activities. They are not guarantees of future results and are subject to risks, uncertainties and assumptions that could cause actual results to materially and adversely differ from those expressed in any forward-looking statement.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These risks and uncertainties relate to the company’s business, its industry and its common stock and include: reduced prices and reimbursement rates for its services; its ability to acquire, develop, manage or improve operations, its ability to manage its increasing borrowing costs as it incurs additional indebtedness to fund the acquisition and development of operations; its ability to access capital on a cost-effective basis to continue to successfully implement its growth strategy; its operating margins and profitability could suffer if it is unable to grow and manage effectively its increasing number of operations; competition from other companies in the acquisition, development and operation of facilities; its ability to defend claims and lawsuits, including professional liability claims alleging that our services resulted in personal injury, and other regulatory-related claims; and the application of existing or proposed government regulations, or the adoption of new laws and regulations, that could limit its business operations, require it to incur significant expenditures or limit its ability to relocate its operations if necessary. Readers should not place undue reliance on any forward-looking statements and are encouraged to review the company’s periodic filings with the Securities and Exchange Commission, including its Form 10-Q and/or 10-K, for a more complete discussion of the risks and other factors that could affect Pennant’s business, prospects and any forward-looking statements. Except as required by the federal securities laws, Pennant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Contact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Pennant Group,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(208) 401-1400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ir@pennantgroup.com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SOURCE: The Pennant Group, Inc.</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9160" w:type="dxa"/>
        <w:jc w:val="left"/>
        <w:tblInd w:w="0" w:type="dxa"/>
        <w:tblLayout w:type="fixed"/>
        <w:tblCellMar>
          <w:top w:w="28" w:type="dxa"/>
          <w:left w:w="28" w:type="dxa"/>
          <w:bottom w:w="28" w:type="dxa"/>
          <w:right w:w="28" w:type="dxa"/>
        </w:tblCellMar>
      </w:tblPr>
      <w:tblGrid>
        <w:gridCol w:w="1675"/>
        <w:gridCol w:w="1476"/>
        <w:gridCol w:w="1484"/>
        <w:gridCol w:w="109"/>
        <w:gridCol w:w="109"/>
        <w:gridCol w:w="192"/>
        <w:gridCol w:w="192"/>
        <w:gridCol w:w="192"/>
        <w:gridCol w:w="192"/>
        <w:gridCol w:w="372"/>
        <w:gridCol w:w="1457"/>
        <w:gridCol w:w="192"/>
        <w:gridCol w:w="109"/>
        <w:gridCol w:w="109"/>
        <w:gridCol w:w="109"/>
        <w:gridCol w:w="211"/>
        <w:gridCol w:w="826"/>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268,063 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19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50"/>
        <w:gridCol w:w="2287"/>
        <w:gridCol w:w="2214"/>
        <w:gridCol w:w="228"/>
        <w:gridCol w:w="896"/>
        <w:gridCol w:w="118"/>
        <w:gridCol w:w="109"/>
        <w:gridCol w:w="109"/>
        <w:gridCol w:w="109"/>
        <w:gridCol w:w="244"/>
        <w:gridCol w:w="958"/>
        <w:gridCol w:w="183"/>
      </w:tblGrid>
      <w:tr>
        <w:trPr/>
        <w:tc>
          <w:tcPr>
            <w:tcW w:w="275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doubtful accounts of $701 and $681, at March 31, 2026 and December 31, 2025 respectively</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152,824 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956,484 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567,048 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593,927 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34,992 and 34,746 shares issued and outstanding at March 31, 2026, respectively; and 34,878 and 34,626 shares issued and outstanding at December 31, 2025, respectively </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March 31, 2026 and December 31, 2025</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346,013 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332,603 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389,436 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374,252 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956,484 </w:t>
            </w:r>
          </w:p>
        </w:tc>
        <w:tc>
          <w:tcPr>
            <w:tcW w:w="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statements of cash flows for the periods presented: </w:t>
      </w:r>
    </w:p>
    <w:tbl>
      <w:tblPr>
        <w:tblW w:w="7046" w:type="dxa"/>
        <w:jc w:val="left"/>
        <w:tblInd w:w="0" w:type="dxa"/>
        <w:tblLayout w:type="fixed"/>
        <w:tblCellMar>
          <w:top w:w="28" w:type="dxa"/>
          <w:left w:w="28" w:type="dxa"/>
          <w:bottom w:w="28" w:type="dxa"/>
          <w:right w:w="28" w:type="dxa"/>
        </w:tblCellMar>
      </w:tblPr>
      <w:tblGrid>
        <w:gridCol w:w="1525"/>
        <w:gridCol w:w="1343"/>
        <w:gridCol w:w="1347"/>
        <w:gridCol w:w="239"/>
        <w:gridCol w:w="784"/>
        <w:gridCol w:w="123"/>
        <w:gridCol w:w="123"/>
        <w:gridCol w:w="123"/>
        <w:gridCol w:w="123"/>
        <w:gridCol w:w="239"/>
        <w:gridCol w:w="903"/>
        <w:gridCol w:w="17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beginning of period</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end of period</w:t>
            </w:r>
          </w:p>
        </w:tc>
        <w:tc>
          <w:tcPr>
            <w:tcW w:w="2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SEGMENT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total revenue by segment and as a percentage of total revenue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229,089 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159,870 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3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50"/>
        <w:gridCol w:w="2250"/>
        <w:gridCol w:w="3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Home care and other revenue is included with home health revenue in other disclosures in this press release. </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 PERFORMANCE INDICATORS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total revenue dollars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performance indicators for the each of the dates or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4"/>
        <w:gridCol w:w="1455"/>
        <w:gridCol w:w="1470"/>
        <w:gridCol w:w="222"/>
        <w:gridCol w:w="875"/>
        <w:gridCol w:w="115"/>
        <w:gridCol w:w="115"/>
        <w:gridCol w:w="115"/>
        <w:gridCol w:w="115"/>
        <w:gridCol w:w="222"/>
        <w:gridCol w:w="875"/>
        <w:gridCol w:w="115"/>
        <w:gridCol w:w="109"/>
        <w:gridCol w:w="109"/>
        <w:gridCol w:w="109"/>
        <w:gridCol w:w="211"/>
        <w:gridCol w:w="721"/>
        <w:gridCol w:w="109"/>
        <w:gridCol w:w="109"/>
        <w:gridCol w:w="109"/>
        <w:gridCol w:w="109"/>
        <w:gridCol w:w="255"/>
        <w:gridCol w:w="256"/>
        <w:gridCol w:w="621"/>
      </w:tblGrid>
      <w:tr>
        <w:trPr/>
        <w:tc>
          <w:tcPr>
            <w:tcW w:w="168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agency results: </w:t>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680"/>
        <w:gridCol w:w="1463"/>
        <w:gridCol w:w="1467"/>
        <w:gridCol w:w="222"/>
        <w:gridCol w:w="875"/>
        <w:gridCol w:w="115"/>
        <w:gridCol w:w="115"/>
        <w:gridCol w:w="115"/>
        <w:gridCol w:w="115"/>
        <w:gridCol w:w="222"/>
        <w:gridCol w:w="875"/>
        <w:gridCol w:w="115"/>
        <w:gridCol w:w="109"/>
        <w:gridCol w:w="109"/>
        <w:gridCol w:w="109"/>
        <w:gridCol w:w="211"/>
        <w:gridCol w:w="721"/>
        <w:gridCol w:w="109"/>
        <w:gridCol w:w="109"/>
        <w:gridCol w:w="109"/>
        <w:gridCol w:w="109"/>
        <w:gridCol w:w="255"/>
        <w:gridCol w:w="256"/>
        <w:gridCol w:w="620"/>
      </w:tblGrid>
      <w:tr>
        <w:trPr/>
        <w:tc>
          <w:tcPr>
            <w:tcW w:w="168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agency</w:t>
            </w:r>
            <w:r>
              <w:rPr>
                <w:rFonts w:ascii="Times New Roman;serif" w:hAnsi="Times New Roman;serif"/>
                <w:b/>
                <w:color w:val="000000"/>
                <w:sz w:val="13"/>
              </w:rPr>
              <w:t>(b)</w:t>
            </w:r>
            <w:r>
              <w:rPr>
                <w:color w:val="000000"/>
              </w:rPr>
              <w:t xml:space="preserve"> </w:t>
            </w:r>
            <w:r>
              <w:rPr>
                <w:rFonts w:ascii="Times New Roman;serif" w:hAnsi="Times New Roman;serif"/>
                <w:b/>
                <w:color w:val="000000"/>
                <w:sz w:val="20"/>
              </w:rPr>
              <w:t xml:space="preserve">results: </w:t>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performance indicators for the periods indicated:</w:t>
      </w:r>
    </w:p>
    <w:p>
      <w:pPr>
        <w:pStyle w:val="TextBody"/>
        <w:bidi w:val="0"/>
        <w:spacing w:before="0" w:after="0"/>
        <w:jc w:val="left"/>
        <w:rPr/>
      </w:pPr>
      <w:r>
        <w:rPr/>
      </w:r>
    </w:p>
    <w:tbl>
      <w:tblPr>
        <w:tblW w:w="9354" w:type="dxa"/>
        <w:jc w:val="left"/>
        <w:tblInd w:w="0" w:type="dxa"/>
        <w:tblLayout w:type="fixed"/>
        <w:tblCellMar>
          <w:top w:w="28" w:type="dxa"/>
          <w:left w:w="28" w:type="dxa"/>
          <w:bottom w:w="28" w:type="dxa"/>
          <w:right w:w="28" w:type="dxa"/>
        </w:tblCellMar>
      </w:tblPr>
      <w:tblGrid>
        <w:gridCol w:w="1337"/>
        <w:gridCol w:w="1174"/>
        <w:gridCol w:w="1179"/>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55"/>
        <w:gridCol w:w="256"/>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living results:</w:t>
            </w:r>
          </w:p>
        </w:tc>
        <w:tc>
          <w:tcPr>
            <w:tcW w:w="12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9264" w:type="dxa"/>
        <w:jc w:val="left"/>
        <w:tblInd w:w="0" w:type="dxa"/>
        <w:tblLayout w:type="fixed"/>
        <w:tblCellMar>
          <w:top w:w="28" w:type="dxa"/>
          <w:left w:w="28" w:type="dxa"/>
          <w:bottom w:w="28" w:type="dxa"/>
          <w:right w:w="28" w:type="dxa"/>
        </w:tblCellMar>
      </w:tblPr>
      <w:tblGrid>
        <w:gridCol w:w="1337"/>
        <w:gridCol w:w="1173"/>
        <w:gridCol w:w="1179"/>
        <w:gridCol w:w="215"/>
        <w:gridCol w:w="736"/>
        <w:gridCol w:w="276"/>
        <w:gridCol w:w="111"/>
        <w:gridCol w:w="111"/>
        <w:gridCol w:w="111"/>
        <w:gridCol w:w="215"/>
        <w:gridCol w:w="736"/>
        <w:gridCol w:w="276"/>
        <w:gridCol w:w="109"/>
        <w:gridCol w:w="109"/>
        <w:gridCol w:w="109"/>
        <w:gridCol w:w="211"/>
        <w:gridCol w:w="616"/>
        <w:gridCol w:w="271"/>
        <w:gridCol w:w="109"/>
        <w:gridCol w:w="109"/>
        <w:gridCol w:w="109"/>
        <w:gridCol w:w="211"/>
        <w:gridCol w:w="211"/>
        <w:gridCol w:w="61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Same store senior living</w:t>
            </w:r>
            <w:r>
              <w:rPr>
                <w:rFonts w:ascii="Times New Roman;serif" w:hAnsi="Times New Roman;serif"/>
                <w:b/>
                <w:color w:val="000000"/>
                <w:sz w:val="13"/>
              </w:rPr>
              <w:t>(a)</w:t>
            </w:r>
            <w:r>
              <w:rPr>
                <w:color w:val="000000"/>
              </w:rPr>
              <w:t xml:space="preserve"> </w:t>
            </w:r>
            <w:r>
              <w:rPr>
                <w:rFonts w:ascii="Times New Roman;serif" w:hAnsi="Times New Roman;serif"/>
                <w:b/>
                <w:color w:val="000000"/>
                <w:sz w:val="20"/>
              </w:rPr>
              <w:t xml:space="preserve">results: </w:t>
            </w:r>
          </w:p>
        </w:tc>
        <w:tc>
          <w:tcPr>
            <w:tcW w:w="12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revenue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REVENUE BY PAYOR SOURCE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dollars in thousands)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by payor source as a percentage of total revenue for the periods indicated:</w:t>
      </w:r>
    </w:p>
    <w:p>
      <w:pPr>
        <w:pStyle w:val="TextBody"/>
        <w:bidi w:val="0"/>
        <w:spacing w:before="0" w:after="0"/>
        <w:jc w:val="both"/>
        <w:rPr/>
      </w:pPr>
      <w:r>
        <w:rPr/>
      </w:r>
    </w:p>
    <w:tbl>
      <w:tblPr>
        <w:tblW w:w="10130" w:type="dxa"/>
        <w:jc w:val="left"/>
        <w:tblInd w:w="0" w:type="dxa"/>
        <w:tblLayout w:type="fixed"/>
        <w:tblCellMar>
          <w:top w:w="28" w:type="dxa"/>
          <w:left w:w="28" w:type="dxa"/>
          <w:bottom w:w="28" w:type="dxa"/>
          <w:right w:w="28" w:type="dxa"/>
        </w:tblCellMar>
      </w:tblPr>
      <w:tblGrid>
        <w:gridCol w:w="599"/>
        <w:gridCol w:w="528"/>
        <w:gridCol w:w="523"/>
        <w:gridCol w:w="109"/>
        <w:gridCol w:w="109"/>
        <w:gridCol w:w="109"/>
        <w:gridCol w:w="276"/>
        <w:gridCol w:w="1082"/>
        <w:gridCol w:w="142"/>
        <w:gridCol w:w="116"/>
        <w:gridCol w:w="116"/>
        <w:gridCol w:w="116"/>
        <w:gridCol w:w="404"/>
        <w:gridCol w:w="404"/>
        <w:gridCol w:w="1007"/>
        <w:gridCol w:w="116"/>
        <w:gridCol w:w="116"/>
        <w:gridCol w:w="116"/>
        <w:gridCol w:w="116"/>
        <w:gridCol w:w="116"/>
        <w:gridCol w:w="116"/>
        <w:gridCol w:w="109"/>
        <w:gridCol w:w="276"/>
        <w:gridCol w:w="1081"/>
        <w:gridCol w:w="142"/>
        <w:gridCol w:w="109"/>
        <w:gridCol w:w="109"/>
        <w:gridCol w:w="109"/>
        <w:gridCol w:w="378"/>
        <w:gridCol w:w="378"/>
        <w:gridCol w:w="1103"/>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94" w:type="dxa"/>
            <w:gridSpan w:val="10"/>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24" w:type="dxa"/>
            <w:gridSpan w:val="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186"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182,179 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0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128,463 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1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includes revenue from all payors generated in the Company’s home care operations and management services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Non-GAAP net income for the periods presented:</w:t>
      </w:r>
    </w:p>
    <w:tbl>
      <w:tblPr>
        <w:tblW w:w="8990" w:type="dxa"/>
        <w:jc w:val="center"/>
        <w:tblInd w:w="0" w:type="dxa"/>
        <w:tblLayout w:type="fixed"/>
        <w:tblCellMar>
          <w:top w:w="28" w:type="dxa"/>
          <w:left w:w="28" w:type="dxa"/>
          <w:bottom w:w="28" w:type="dxa"/>
          <w:right w:w="28" w:type="dxa"/>
        </w:tblCellMar>
      </w:tblPr>
      <w:tblGrid>
        <w:gridCol w:w="1694"/>
        <w:gridCol w:w="1488"/>
        <w:gridCol w:w="1497"/>
        <w:gridCol w:w="109"/>
        <w:gridCol w:w="109"/>
        <w:gridCol w:w="205"/>
        <w:gridCol w:w="205"/>
        <w:gridCol w:w="205"/>
        <w:gridCol w:w="205"/>
        <w:gridCol w:w="398"/>
        <w:gridCol w:w="1362"/>
        <w:gridCol w:w="205"/>
        <w:gridCol w:w="109"/>
        <w:gridCol w:w="109"/>
        <w:gridCol w:w="109"/>
        <w:gridCol w:w="211"/>
        <w:gridCol w:w="61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Costs at start-up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Unusual, non-recurring or redundant charges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 on Non-GAAP adjustments</w:t>
            </w:r>
            <w:r>
              <w:rPr>
                <w:rFonts w:ascii="Times New Roman;serif" w:hAnsi="Times New Roman;serif"/>
                <w:b w:val="false"/>
                <w:color w:val="000000"/>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Dilutive Earnings Per Share 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Diluted Earnings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35,757 </w:t>
            </w:r>
          </w:p>
        </w:tc>
        <w:tc>
          <w:tcPr>
            <w:tcW w:w="2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59"/>
        <w:gridCol w:w="359"/>
        <w:gridCol w:w="359"/>
        <w:gridCol w:w="359"/>
        <w:gridCol w:w="359"/>
        <w:gridCol w:w="359"/>
        <w:gridCol w:w="359"/>
        <w:gridCol w:w="350"/>
        <w:gridCol w:w="350"/>
        <w:gridCol w:w="452"/>
        <w:gridCol w:w="452"/>
        <w:gridCol w:w="452"/>
        <w:gridCol w:w="452"/>
        <w:gridCol w:w="254"/>
        <w:gridCol w:w="818"/>
        <w:gridCol w:w="141"/>
        <w:gridCol w:w="109"/>
        <w:gridCol w:w="109"/>
        <w:gridCol w:w="109"/>
        <w:gridCol w:w="196"/>
        <w:gridCol w:w="5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results related to start-up operations. </w:t>
            </w:r>
          </w:p>
        </w:tc>
        <w:tc>
          <w:tcPr>
            <w:tcW w:w="244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Revenue </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Cost of services </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Rent </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&amp; amortization</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Represents share-based compensation expense incurred for the periods presented.</w:t>
            </w:r>
          </w:p>
        </w:tc>
        <w:tc>
          <w:tcPr>
            <w:tcW w:w="244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costs incurred to acquire an operation that are not capitalizable.</w:t>
            </w:r>
          </w:p>
        </w:tc>
        <w:tc>
          <w:tcPr>
            <w:tcW w:w="2446" w:type="dxa"/>
            <w:gridSpan w:val="9"/>
            <w:tcBorders/>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528"/>
        <w:gridCol w:w="520"/>
        <w:gridCol w:w="520"/>
        <w:gridCol w:w="520"/>
        <w:gridCol w:w="520"/>
        <w:gridCol w:w="520"/>
        <w:gridCol w:w="520"/>
        <w:gridCol w:w="520"/>
        <w:gridCol w:w="520"/>
        <w:gridCol w:w="520"/>
        <w:gridCol w:w="520"/>
        <w:gridCol w:w="520"/>
        <w:gridCol w:w="520"/>
        <w:gridCol w:w="520"/>
        <w:gridCol w:w="520"/>
        <w:gridCol w:w="196"/>
        <w:gridCol w:w="406"/>
        <w:gridCol w:w="109"/>
        <w:gridCol w:w="109"/>
        <w:gridCol w:w="109"/>
        <w:gridCol w:w="109"/>
        <w:gridCol w:w="196"/>
        <w:gridCol w:w="331"/>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c>
          <w:tcPr>
            <w:tcW w:w="1728"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Non-GAAP adjustment</w:t>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c>
          <w:tcPr>
            <w:tcW w:w="1728"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c>
          <w:tcPr>
            <w:tcW w:w="1728"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288"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1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an adjustment to the provision for income tax to the year-to-date effective tax rate of 26.0% and 26.1% for the three months ended March 31, 2026 and 2025, respectively. This rate excludes the tax benefit of share-based payment awards.</w:t>
            </w:r>
          </w:p>
        </w:tc>
        <w:tc>
          <w:tcPr>
            <w:tcW w:w="1728"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 Consolidated Adjusted EBITDA, and to the Non-GAAP valuation measure, Consolidated Adjusted EBITDAR, for the periods presented:</w:t>
      </w:r>
    </w:p>
    <w:p>
      <w:pPr>
        <w:pStyle w:val="TextBody"/>
        <w:bidi w:val="0"/>
        <w:spacing w:before="0" w:after="0"/>
        <w:jc w:val="both"/>
        <w:rPr/>
      </w:pPr>
      <w:r>
        <w:rPr/>
      </w:r>
    </w:p>
    <w:tbl>
      <w:tblPr>
        <w:tblW w:w="8946" w:type="dxa"/>
        <w:jc w:val="left"/>
        <w:tblInd w:w="0" w:type="dxa"/>
        <w:tblLayout w:type="fixed"/>
        <w:tblCellMar>
          <w:top w:w="28" w:type="dxa"/>
          <w:left w:w="28" w:type="dxa"/>
          <w:bottom w:w="28" w:type="dxa"/>
          <w:right w:w="28" w:type="dxa"/>
        </w:tblCellMar>
      </w:tblPr>
      <w:tblGrid>
        <w:gridCol w:w="1677"/>
        <w:gridCol w:w="1475"/>
        <w:gridCol w:w="1483"/>
        <w:gridCol w:w="109"/>
        <w:gridCol w:w="109"/>
        <w:gridCol w:w="205"/>
        <w:gridCol w:w="205"/>
        <w:gridCol w:w="205"/>
        <w:gridCol w:w="205"/>
        <w:gridCol w:w="398"/>
        <w:gridCol w:w="1362"/>
        <w:gridCol w:w="205"/>
        <w:gridCol w:w="109"/>
        <w:gridCol w:w="109"/>
        <w:gridCol w:w="109"/>
        <w:gridCol w:w="211"/>
        <w:gridCol w:w="61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21,710 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13,030 </w:t>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Consolidated Adjusted EBITDAR</w:t>
            </w:r>
            <w:r>
              <w:rPr>
                <w:rFonts w:ascii="Times New Roman;serif" w:hAnsi="Times New Roman;serif"/>
                <w:b w:val="false"/>
                <w:color w:val="000000"/>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34,740 </w:t>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5"/>
        <w:gridCol w:w="2720"/>
        <w:gridCol w:w="3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This measure is a valuation measure and is displayed thusly, it is not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attributable to The Pennant Group, Inc. to the Consolidated Non-GAAP financial measures, Consolidated Adjusted EBITDA and Consolidated Adjusted EBITDA prior to NCI, for the periods presented:</w:t>
      </w:r>
    </w:p>
    <w:p>
      <w:pPr>
        <w:pStyle w:val="TextBody"/>
        <w:bidi w:val="0"/>
        <w:spacing w:before="0" w:after="0"/>
        <w:jc w:val="both"/>
        <w:rPr/>
      </w:pPr>
      <w:r>
        <w:rPr/>
      </w:r>
    </w:p>
    <w:tbl>
      <w:tblPr>
        <w:tblW w:w="9713" w:type="dxa"/>
        <w:jc w:val="left"/>
        <w:tblInd w:w="0" w:type="dxa"/>
        <w:tblLayout w:type="fixed"/>
        <w:tblCellMar>
          <w:top w:w="28" w:type="dxa"/>
          <w:left w:w="28" w:type="dxa"/>
          <w:bottom w:w="28" w:type="dxa"/>
          <w:right w:w="28" w:type="dxa"/>
        </w:tblCellMar>
      </w:tblPr>
      <w:tblGrid>
        <w:gridCol w:w="1917"/>
        <w:gridCol w:w="1684"/>
        <w:gridCol w:w="1693"/>
        <w:gridCol w:w="109"/>
        <w:gridCol w:w="109"/>
        <w:gridCol w:w="241"/>
        <w:gridCol w:w="241"/>
        <w:gridCol w:w="467"/>
        <w:gridCol w:w="1598"/>
        <w:gridCol w:w="241"/>
        <w:gridCol w:w="109"/>
        <w:gridCol w:w="109"/>
        <w:gridCol w:w="109"/>
        <w:gridCol w:w="211"/>
        <w:gridCol w:w="7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21,710 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 (“NCI”)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 prior to NCI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5"/>
        <w:gridCol w:w="2720"/>
        <w:gridCol w:w="3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our reportable segments. General and administrative expenses are not allocated to the reportable segments: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5"/>
        <w:gridCol w:w="907"/>
        <w:gridCol w:w="912"/>
        <w:gridCol w:w="450"/>
        <w:gridCol w:w="1766"/>
        <w:gridCol w:w="232"/>
        <w:gridCol w:w="109"/>
        <w:gridCol w:w="109"/>
        <w:gridCol w:w="109"/>
        <w:gridCol w:w="346"/>
        <w:gridCol w:w="1185"/>
        <w:gridCol w:w="179"/>
        <w:gridCol w:w="109"/>
        <w:gridCol w:w="109"/>
        <w:gridCol w:w="109"/>
        <w:gridCol w:w="211"/>
        <w:gridCol w:w="616"/>
        <w:gridCol w:w="109"/>
        <w:gridCol w:w="109"/>
        <w:gridCol w:w="109"/>
        <w:gridCol w:w="109"/>
        <w:gridCol w:w="211"/>
        <w:gridCol w:w="826"/>
        <w:gridCol w:w="159"/>
      </w:tblGrid>
      <w:tr>
        <w:trPr/>
        <w:tc>
          <w:tcPr>
            <w:tcW w:w="11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24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2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above to income from operations:</w:t>
      </w:r>
    </w:p>
    <w:p>
      <w:pPr>
        <w:pStyle w:val="TextBody"/>
        <w:bidi w:val="0"/>
        <w:spacing w:before="0" w:after="0"/>
        <w:ind w:left="0" w:right="0" w:hanging="360"/>
        <w:jc w:val="center"/>
        <w:rPr/>
      </w:pPr>
      <w:r>
        <w:rPr/>
      </w:r>
    </w:p>
    <w:tbl>
      <w:tblPr>
        <w:tblW w:w="9036" w:type="dxa"/>
        <w:jc w:val="center"/>
        <w:tblInd w:w="0" w:type="dxa"/>
        <w:tblLayout w:type="fixed"/>
        <w:tblCellMar>
          <w:top w:w="28" w:type="dxa"/>
          <w:left w:w="28" w:type="dxa"/>
          <w:bottom w:w="28" w:type="dxa"/>
          <w:right w:w="28" w:type="dxa"/>
        </w:tblCellMar>
      </w:tblPr>
      <w:tblGrid>
        <w:gridCol w:w="1674"/>
        <w:gridCol w:w="1469"/>
        <w:gridCol w:w="1477"/>
        <w:gridCol w:w="109"/>
        <w:gridCol w:w="109"/>
        <w:gridCol w:w="205"/>
        <w:gridCol w:w="205"/>
        <w:gridCol w:w="205"/>
        <w:gridCol w:w="205"/>
        <w:gridCol w:w="398"/>
        <w:gridCol w:w="1362"/>
        <w:gridCol w:w="205"/>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17,301 </w:t>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 and write-offs for amounts in dispute with the prior owners of certain acquired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During 2025, an affiliate of the Company held its memory care units in transition and is converting the facility into an assisted living community.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entered into as part of the acquisition agreement consummated on October 1, 2025. All amounts are included in Cost of services. Fees incurred under the transition services agreement were $2,815 for the three months ended March 31,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below reconcile Segment Adjusted EBITDAR from Operations to Segment Adjusted EBITDA from Operations for each reportable segment for the periods presented:</w:t>
      </w: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Discussion of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EBITDA consists of net income, adjusted for net income attributable to noncontrolling interest (“NCI”), before (a) interest expense, net, (b) provisions for income taxes, and (c) depreciation and amortization. Adjusted EBITDA consists of net income attributable to the Company before (a) interest expense, net (b) provisions for income taxes, (c) depreciation and amortization, (d) results related to start-up operations, including rent and excluding depreciation, interest and income taxes, (e) share-based compensation expense, (f) non-capitalizable acquisition related costs, (g) activities associated with transitioning operations, (h) transition services costs, and (i) other unusual, non-recurring or redundant charges. Adjusted EBITDA prior to NCI consists of net income attributable to the Company before (a) interest expense, net (b) provisions for income taxes, (c) depreciation and amortization, (d) results related to start-up operations, (f) non-capitalizable acquisition related costs, (g) activities associated with transitioning operations, (h) transition services costs, (i) unusual, non-recurring or redundant charges, and (j) NCI. Consolidated Adjusted EBITDAR is a valuation measure applicable to current periods only and consists of net income attributable to the Company before (a) interest expense, net, (b) provisions for income taxes, (c) depreciation and amortization, (d) rent-cost of services, (e) results related to start-up operations, excluding rent, depreciation, interest and income taxes, (f) share-based compensation expense, (g) acquisition related costs, (h) activities associated with transitioning operations, (i) transition services costs, and (j) other unusual, non-recurring or redundant charges. The company believes that the presentation of EBITDA, adjusted EBITDA, adjusted EBITDA prior to NCI, consolidated adjusted EBITDAR, adjusted net income, and adjusted earnings per share provides important supplemental information to management and investors to evaluate the company’s operating performance. The company believes disclosure of adjusted net income, adjusted net income per share, EBITDA, adjusted EBITDA, adjusted EBITDA prior to NCI, and consolidated adjusted EBITDAR has economic substance because the excluded revenues and expenses are infrequent in nature and are variable in nature, or do not represent current revenues or cash expenditures. A material limitation associated with the use of these measures as compared to the GAAP measures of net income and diluted earnings per share is that they may not be comparable with the calculation of net income and diluted earnings per share for other companies in the company's industry. These non-GAAP financial measures should not be relied upon to the exclusion of GAAP financial measures. For further information regarding why the company believes that this non-GAAP measure provides useful information to investors, the specific manner in which management uses this measure, and some of the limitations associated with the use of this measure, please refer to the company's periodic filings with the Securities and Exchange Commission, including its Annual Report on Form 10-K and Quarterly Report on Form 10-Q. The company’s periodic filings are available on the SEC's website at www.sec.gov or under the "Financial Information" link of the Investor Relations section on Pennant’s website at http://www.pennantgroup.com.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5313</Words>
  <Characters>30184</Characters>
  <CharactersWithSpaces>34954</CharactersWithSpaces>
  <Paragraphs>1084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