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46"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ind w:right="1239"/>
        <w:spacing w:after="0" w:line="277" w:lineRule="auto"/>
        <w:rPr>
          <w:sz w:val="20"/>
          <w:szCs w:val="20"/>
          <w:color w:val="auto"/>
        </w:rPr>
      </w:pPr>
      <w:r>
        <w:rPr>
          <w:rFonts w:ascii="Times New Roman" w:cs="Times New Roman" w:eastAsia="Times New Roman" w:hAnsi="Times New Roman"/>
          <w:sz w:val="43"/>
          <w:szCs w:val="43"/>
          <w:color w:val="auto"/>
        </w:rPr>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52" w:lineRule="exact"/>
        <w:rPr>
          <w:sz w:val="24"/>
          <w:szCs w:val="24"/>
          <w:color w:val="auto"/>
        </w:rPr>
      </w:pPr>
    </w:p>
    <w:p>
      <w:pPr>
        <w:ind w:left="352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2</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Pennant Group,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Shares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70805E109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09/30/2025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70805E109</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Van Berkom &amp; Associates Inc.</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270"/>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CANADA (FEDERAL LEVEL)</w:t>
      </w:r>
    </w:p>
    <w:p>
      <w:pPr>
        <w:sectPr>
          <w:pgSz w:w="11900" w:h="16884" w:orient="portrait"/>
          <w:cols w:equalWidth="0" w:num="1">
            <w:col w:w="10099"/>
          </w:cols>
          <w:pgMar w:left="360" w:top="866" w:right="1440" w:bottom="0" w:gutter="0" w:footer="0" w:header="0"/>
        </w:sectPr>
      </w:pPr>
    </w:p>
    <w:bookmarkStart w:id="1" w:name="page2"/>
    <w:bookmarkEnd w:id="1"/>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Shares</w:t>
      </w:r>
    </w:p>
    <w:p>
      <w:pPr>
        <w:ind w:left="40"/>
        <w:spacing w:after="0"/>
        <w:rPr>
          <w:sz w:val="20"/>
          <w:szCs w:val="20"/>
          <w:color w:val="auto"/>
        </w:rPr>
      </w:pPr>
      <w:r>
        <w:rPr>
          <w:rFonts w:ascii="Times New Roman" w:cs="Times New Roman" w:eastAsia="Times New Roman" w:hAnsi="Times New Roman"/>
          <w:sz w:val="21"/>
          <w:szCs w:val="21"/>
          <w:color w:val="auto"/>
        </w:rPr>
        <w:t>Beneficially</w:t>
      </w:r>
    </w:p>
    <w:p>
      <w:pPr>
        <w:ind w:left="40"/>
        <w:spacing w:after="0" w:line="231" w:lineRule="auto"/>
        <w:rPr>
          <w:sz w:val="20"/>
          <w:szCs w:val="20"/>
          <w:color w:val="auto"/>
        </w:rPr>
      </w:pPr>
      <w:r>
        <w:rPr>
          <w:rFonts w:ascii="Times New Roman" w:cs="Times New Roman" w:eastAsia="Times New Roman" w:hAnsi="Times New Roman"/>
          <w:sz w:val="22"/>
          <w:szCs w:val="22"/>
          <w:color w:val="auto"/>
        </w:rPr>
        <w:t>Owned by</w:t>
      </w:r>
    </w:p>
    <w:p>
      <w:pPr>
        <w:ind w:left="40"/>
        <w:spacing w:after="0" w:line="231" w:lineRule="auto"/>
        <w:rPr>
          <w:sz w:val="20"/>
          <w:szCs w:val="20"/>
          <w:color w:val="auto"/>
        </w:rPr>
      </w:pPr>
      <w:r>
        <w:rPr>
          <w:rFonts w:ascii="Times New Roman" w:cs="Times New Roman" w:eastAsia="Times New Roman" w:hAnsi="Times New Roman"/>
          <w:sz w:val="22"/>
          <w:szCs w:val="22"/>
          <w:color w:val="auto"/>
        </w:rPr>
        <w:t>Each</w:t>
      </w:r>
    </w:p>
    <w:p>
      <w:pPr>
        <w:ind w:left="40"/>
        <w:spacing w:after="0" w:line="231" w:lineRule="auto"/>
        <w:rPr>
          <w:sz w:val="20"/>
          <w:szCs w:val="20"/>
          <w:color w:val="auto"/>
        </w:rPr>
      </w:pPr>
      <w:r>
        <w:rPr>
          <w:rFonts w:ascii="Times New Roman" w:cs="Times New Roman" w:eastAsia="Times New Roman" w:hAnsi="Times New Roman"/>
          <w:sz w:val="22"/>
          <w:szCs w:val="22"/>
          <w:color w:val="auto"/>
        </w:rPr>
        <w:t>Reporting</w:t>
      </w:r>
    </w:p>
    <w:p>
      <w:pPr>
        <w:ind w:left="40"/>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3,112,812.00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3,112,812.00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3,112,812.00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9.0 %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IA</w:t>
      </w:r>
    </w:p>
    <w:p>
      <w:pPr>
        <w:spacing w:after="0" w:line="200" w:lineRule="exact"/>
        <w:rPr>
          <w:sz w:val="20"/>
          <w:szCs w:val="20"/>
          <w:color w:val="auto"/>
        </w:rPr>
      </w:pPr>
    </w:p>
    <w:p>
      <w:pPr>
        <w:sectPr>
          <w:pgSz w:w="11900" w:h="16847" w:orient="portrait"/>
          <w:cols w:equalWidth="0" w:num="2">
            <w:col w:w="1100" w:space="60"/>
            <w:col w:w="9980"/>
          </w:cols>
          <w:pgMar w:left="320" w:top="166" w:right="439" w:bottom="0" w:gutter="0" w:footer="0" w:header="0"/>
        </w:sectPr>
      </w:pPr>
    </w:p>
    <w:p>
      <w:pPr>
        <w:spacing w:after="0" w:line="70" w:lineRule="exact"/>
        <w:rPr>
          <w:sz w:val="20"/>
          <w:szCs w:val="20"/>
          <w:color w:val="auto"/>
        </w:rPr>
      </w:pPr>
    </w:p>
    <w:p>
      <w:pPr>
        <w:spacing w:after="0" w:line="237" w:lineRule="auto"/>
        <w:rPr>
          <w:sz w:val="20"/>
          <w:szCs w:val="20"/>
          <w:color w:val="auto"/>
        </w:rPr>
      </w:pPr>
      <w:r>
        <w:rPr>
          <w:rFonts w:ascii="Times New Roman" w:cs="Times New Roman" w:eastAsia="Times New Roman" w:hAnsi="Times New Roman"/>
          <w:sz w:val="22"/>
          <w:szCs w:val="22"/>
          <w:b w:val="1"/>
          <w:bCs w:val="1"/>
          <w:color w:val="auto"/>
        </w:rPr>
        <w:t xml:space="preserve">Comment for Type of Reporting Person: </w:t>
      </w:r>
      <w:r>
        <w:rPr>
          <w:rFonts w:ascii="Times New Roman" w:cs="Times New Roman" w:eastAsia="Times New Roman" w:hAnsi="Times New Roman"/>
          <w:sz w:val="22"/>
          <w:szCs w:val="22"/>
          <w:color w:val="auto"/>
        </w:rPr>
        <w:t>This Amendment No 2 to Schedule 13G is being file to replace the Schedule 13 G</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filed on November 05, 2025 (Accession number: 0001524408-25-000015). The original filing was made based on our belief that we no longer beneficially owned securities of the issuer (Pennant Group Inc), but upon further review, we constantly held ownership and as of September 30, 2025, the beneficial ownership continued to represent more than 5% but less than 10% of the outstanding class of the issuer's securities and therefore no filing was required in this case . This amendment is being filed to correct the prior disclosure. Thank you for your understanding.</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Item 1.</w:t>
      </w:r>
    </w:p>
    <w:p>
      <w:pPr>
        <w:spacing w:after="0" w:line="44"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ind w:left="960"/>
        <w:spacing w:after="0"/>
        <w:rPr>
          <w:sz w:val="20"/>
          <w:szCs w:val="20"/>
          <w:color w:val="auto"/>
        </w:rPr>
      </w:pPr>
      <w:r>
        <w:rPr>
          <w:rFonts w:ascii="Times New Roman" w:cs="Times New Roman" w:eastAsia="Times New Roman" w:hAnsi="Times New Roman"/>
          <w:sz w:val="22"/>
          <w:szCs w:val="22"/>
          <w:color w:val="auto"/>
        </w:rPr>
        <w:t>Pennant Group, Inc.</w:t>
      </w:r>
    </w:p>
    <w:p>
      <w:pPr>
        <w:spacing w:after="0" w:line="20"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ind w:left="960"/>
        <w:spacing w:after="0"/>
        <w:rPr>
          <w:sz w:val="20"/>
          <w:szCs w:val="20"/>
          <w:color w:val="auto"/>
        </w:rPr>
      </w:pPr>
      <w:r>
        <w:rPr>
          <w:rFonts w:ascii="Times New Roman" w:cs="Times New Roman" w:eastAsia="Times New Roman" w:hAnsi="Times New Roman"/>
          <w:sz w:val="22"/>
          <w:szCs w:val="22"/>
          <w:color w:val="auto"/>
        </w:rPr>
        <w:t>1675 E. RIVERSIDE DRIVE, 1675 E. RIVERSIDE DRIVE, EAGLE, IDAHO, 83616</w:t>
      </w:r>
    </w:p>
    <w:p>
      <w:pPr>
        <w:spacing w:after="0" w:line="2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Item 2.</w:t>
      </w:r>
    </w:p>
    <w:p>
      <w:pPr>
        <w:spacing w:after="0" w:line="44"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ind w:left="960"/>
        <w:spacing w:after="0"/>
        <w:rPr>
          <w:sz w:val="20"/>
          <w:szCs w:val="20"/>
          <w:color w:val="auto"/>
        </w:rPr>
      </w:pPr>
      <w:r>
        <w:rPr>
          <w:rFonts w:ascii="Times New Roman" w:cs="Times New Roman" w:eastAsia="Times New Roman" w:hAnsi="Times New Roman"/>
          <w:sz w:val="22"/>
          <w:szCs w:val="22"/>
          <w:color w:val="auto"/>
        </w:rPr>
        <w:t>Van Berkom and Associates Inc.</w:t>
      </w:r>
    </w:p>
    <w:p>
      <w:pPr>
        <w:spacing w:after="0" w:line="20"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ind w:left="960"/>
        <w:spacing w:after="0"/>
        <w:rPr>
          <w:sz w:val="20"/>
          <w:szCs w:val="20"/>
          <w:color w:val="auto"/>
        </w:rPr>
      </w:pPr>
      <w:r>
        <w:rPr>
          <w:rFonts w:ascii="Times New Roman" w:cs="Times New Roman" w:eastAsia="Times New Roman" w:hAnsi="Times New Roman"/>
          <w:sz w:val="22"/>
          <w:szCs w:val="22"/>
          <w:color w:val="auto"/>
        </w:rPr>
        <w:t>600 Boul. De Maisonneuve Ouest, Bureau 2510, Montreal, Quebec , H3A 3J2</w:t>
      </w:r>
    </w:p>
    <w:p>
      <w:pPr>
        <w:spacing w:after="0" w:line="20"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Citizenship:</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w:t>
      </w:r>
    </w:p>
    <w:p>
      <w:pPr>
        <w:ind w:left="960"/>
        <w:spacing w:after="0"/>
        <w:rPr>
          <w:sz w:val="20"/>
          <w:szCs w:val="20"/>
          <w:color w:val="auto"/>
        </w:rPr>
      </w:pPr>
      <w:r>
        <w:rPr>
          <w:rFonts w:ascii="Times New Roman" w:cs="Times New Roman" w:eastAsia="Times New Roman" w:hAnsi="Times New Roman"/>
          <w:sz w:val="22"/>
          <w:szCs w:val="22"/>
          <w:color w:val="auto"/>
        </w:rPr>
        <w:t>Canada</w:t>
      </w:r>
    </w:p>
    <w:p>
      <w:pPr>
        <w:spacing w:after="0" w:line="20"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w:t>
      </w:r>
    </w:p>
    <w:p>
      <w:pPr>
        <w:ind w:left="960"/>
        <w:spacing w:after="0"/>
        <w:rPr>
          <w:sz w:val="20"/>
          <w:szCs w:val="20"/>
          <w:color w:val="auto"/>
        </w:rPr>
      </w:pPr>
      <w:r>
        <w:rPr>
          <w:rFonts w:ascii="Times New Roman" w:cs="Times New Roman" w:eastAsia="Times New Roman" w:hAnsi="Times New Roman"/>
          <w:sz w:val="22"/>
          <w:szCs w:val="22"/>
          <w:color w:val="auto"/>
        </w:rPr>
        <w:t>Common Shares</w:t>
      </w:r>
    </w:p>
    <w:p>
      <w:pPr>
        <w:spacing w:after="0" w:line="20"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CUSIP No.:</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(e)</w:t>
      </w:r>
    </w:p>
    <w:p>
      <w:pPr>
        <w:ind w:left="960"/>
        <w:spacing w:after="0"/>
        <w:rPr>
          <w:sz w:val="20"/>
          <w:szCs w:val="20"/>
          <w:color w:val="auto"/>
        </w:rPr>
      </w:pPr>
      <w:r>
        <w:rPr>
          <w:rFonts w:ascii="Times New Roman" w:cs="Times New Roman" w:eastAsia="Times New Roman" w:hAnsi="Times New Roman"/>
          <w:sz w:val="22"/>
          <w:szCs w:val="22"/>
          <w:color w:val="auto"/>
        </w:rPr>
        <w:t>70805E109</w:t>
      </w:r>
    </w:p>
    <w:p>
      <w:pPr>
        <w:spacing w:after="0" w:line="20" w:lineRule="exact"/>
        <w:rPr>
          <w:sz w:val="20"/>
          <w:szCs w:val="20"/>
          <w:color w:val="auto"/>
        </w:rPr>
      </w:pPr>
    </w:p>
    <w:p>
      <w:pPr>
        <w:ind w:left="40"/>
        <w:spacing w:after="0"/>
        <w:tabs>
          <w:tab w:leader="none" w:pos="940" w:val="left"/>
        </w:tabs>
        <w:rPr>
          <w:sz w:val="20"/>
          <w:szCs w:val="20"/>
          <w:color w:val="auto"/>
        </w:rPr>
      </w:pPr>
      <w:r>
        <w:rPr>
          <w:rFonts w:ascii="Times New Roman" w:cs="Times New Roman" w:eastAsia="Times New Roman" w:hAnsi="Times New Roman"/>
          <w:sz w:val="22"/>
          <w:szCs w:val="22"/>
          <w:color w:val="auto"/>
        </w:rPr>
        <w:t>Item 3.</w:t>
      </w:r>
      <w:r>
        <w:rPr>
          <w:sz w:val="20"/>
          <w:szCs w:val="20"/>
          <w:color w:val="auto"/>
        </w:rPr>
        <w:tab/>
      </w: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58" w:lineRule="exact"/>
        <w:rPr>
          <w:sz w:val="20"/>
          <w:szCs w:val="20"/>
          <w:color w:val="auto"/>
        </w:rPr>
      </w:pPr>
    </w:p>
    <w:p>
      <w:pPr>
        <w:ind w:left="960" w:hanging="912"/>
        <w:spacing w:after="0"/>
        <w:tabs>
          <w:tab w:leader="none" w:pos="96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Broker or dealer registered under section 15 of the Act (15 U.S.C. 78o);</w:t>
      </w:r>
    </w:p>
    <w:p>
      <w:pPr>
        <w:spacing w:after="0" w:line="57" w:lineRule="exact"/>
        <w:rPr>
          <w:rFonts w:ascii="Times New Roman" w:cs="Times New Roman" w:eastAsia="Times New Roman" w:hAnsi="Times New Roman"/>
          <w:sz w:val="22"/>
          <w:szCs w:val="22"/>
          <w:color w:val="auto"/>
        </w:rPr>
      </w:pPr>
    </w:p>
    <w:p>
      <w:pPr>
        <w:ind w:left="960" w:hanging="912"/>
        <w:spacing w:after="0"/>
        <w:tabs>
          <w:tab w:leader="none" w:pos="96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Bank as defined in section 3(a)(6) of the Act (15 U.S.C. 78c);</w:t>
      </w:r>
    </w:p>
    <w:p>
      <w:pPr>
        <w:sectPr>
          <w:pgSz w:w="11900" w:h="16847" w:orient="portrait"/>
          <w:cols w:equalWidth="0" w:num="1">
            <w:col w:w="11140"/>
          </w:cols>
          <w:pgMar w:left="320" w:top="166" w:right="439" w:bottom="0" w:gutter="0" w:footer="0" w:header="0"/>
          <w:type w:val="continuous"/>
        </w:sectPr>
      </w:pPr>
    </w:p>
    <w:bookmarkStart w:id="2" w:name="page3"/>
    <w:bookmarkEnd w:id="2"/>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Insurance company as defined in section 3(a)(19)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1"/>
          <w:szCs w:val="21"/>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Investment company registered under section 8 of the Investment Company Act of 1940 (15 U.S.C. 80a-8);</w:t>
      </w:r>
    </w:p>
    <w:p>
      <w:pPr>
        <w:spacing w:after="0" w:line="62" w:lineRule="exact"/>
        <w:rPr>
          <w:rFonts w:ascii="Times New Roman" w:cs="Times New Roman" w:eastAsia="Times New Roman" w:hAnsi="Times New Roman"/>
          <w:sz w:val="21"/>
          <w:szCs w:val="21"/>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savings associations as defined in Section 3(b) of the Federal Deposit Insurance Act (12 U.S.C. 1813);</w:t>
      </w:r>
    </w:p>
    <w:p>
      <w:pPr>
        <w:spacing w:after="0" w:line="57" w:lineRule="exact"/>
        <w:rPr>
          <w:rFonts w:ascii="Times New Roman" w:cs="Times New Roman" w:eastAsia="Times New Roman" w:hAnsi="Times New Roman"/>
          <w:sz w:val="22"/>
          <w:szCs w:val="22"/>
          <w:color w:val="auto"/>
        </w:rPr>
      </w:pPr>
    </w:p>
    <w:p>
      <w:pPr>
        <w:ind w:left="920" w:right="680" w:hanging="912"/>
        <w:spacing w:after="0" w:line="185" w:lineRule="auto"/>
        <w:tabs>
          <w:tab w:leader="none" w:pos="920" w:val="left"/>
        </w:tabs>
        <w:numPr>
          <w:ilvl w:val="0"/>
          <w:numId w:val="4"/>
        </w:numPr>
        <w:rPr>
          <w:rFonts w:ascii="Times New Roman" w:cs="Times New Roman" w:eastAsia="Times New Roman" w:hAnsi="Times New Roman"/>
          <w:sz w:val="39"/>
          <w:szCs w:val="39"/>
          <w:color w:val="auto"/>
          <w:vertAlign w:val="subscript"/>
        </w:rPr>
      </w:pPr>
      <w:r>
        <w:rPr>
          <w:sz w:val="1"/>
          <w:szCs w:val="1"/>
          <w:color w:val="auto"/>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A church plan that is excluded from the definition of an investment company under section 3(c)(14) of the Investment Company Act of 1940 (15 U.S.C. 80a-3);</w:t>
      </w:r>
    </w:p>
    <w:p>
      <w:pPr>
        <w:spacing w:after="0" w:line="30" w:lineRule="exact"/>
        <w:rPr>
          <w:rFonts w:ascii="Times New Roman" w:cs="Times New Roman" w:eastAsia="Times New Roman" w:hAnsi="Times New Roman"/>
          <w:sz w:val="39"/>
          <w:szCs w:val="39"/>
          <w:color w:val="auto"/>
          <w:vertAlign w:val="subscript"/>
        </w:rPr>
      </w:pPr>
    </w:p>
    <w:p>
      <w:pPr>
        <w:ind w:left="920"/>
        <w:spacing w:after="0"/>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1"/>
          <w:szCs w:val="1"/>
          <w:color w:val="auto"/>
          <w:vertAlign w:val="subscript"/>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w:t>
      </w:r>
    </w:p>
    <w:p>
      <w:pPr>
        <w:spacing w:after="0" w:line="14" w:lineRule="exact"/>
        <w:rPr>
          <w:rFonts w:ascii="Times New Roman" w:cs="Times New Roman" w:eastAsia="Times New Roman" w:hAnsi="Times New Roman"/>
          <w:sz w:val="39"/>
          <w:szCs w:val="39"/>
          <w:color w:val="auto"/>
          <w:vertAlign w:val="subscript"/>
        </w:rPr>
      </w:pPr>
    </w:p>
    <w:p>
      <w:pPr>
        <w:ind w:left="920" w:hanging="912"/>
        <w:spacing w:after="0" w:line="230" w:lineRule="auto"/>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accordance with § 240.13d-1(b)(1)(ii)(J),</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3,112,812.00</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9,01% %</w:t>
      </w:r>
    </w:p>
    <w:p>
      <w:pPr>
        <w:spacing w:after="0" w:line="20" w:lineRule="exact"/>
        <w:rPr>
          <w:sz w:val="20"/>
          <w:szCs w:val="20"/>
          <w:color w:val="auto"/>
        </w:rPr>
      </w:pPr>
    </w:p>
    <w:p>
      <w:pPr>
        <w:ind w:left="920" w:hanging="912"/>
        <w:spacing w:after="0"/>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ectPr>
          <w:pgSz w:w="11900" w:h="16838" w:orient="portrait"/>
          <w:cols w:equalWidth="0" w:num="1">
            <w:col w:w="11140"/>
          </w:cols>
          <w:pgMar w:left="360" w:top="126" w:right="39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5.</w:t>
      </w: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6.</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7.</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8.</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ind w:right="6520" w:firstLine="6"/>
        <w:spacing w:after="0" w:line="486" w:lineRule="auto"/>
        <w:tabs>
          <w:tab w:leader="none" w:pos="258"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vote or to direct the vote: 3,112,812.00</w:t>
      </w:r>
    </w:p>
    <w:p>
      <w:pPr>
        <w:spacing w:after="0" w:line="1" w:lineRule="exact"/>
        <w:rPr>
          <w:rFonts w:ascii="Times New Roman" w:cs="Times New Roman" w:eastAsia="Times New Roman" w:hAnsi="Times New Roman"/>
          <w:sz w:val="22"/>
          <w:szCs w:val="22"/>
          <w:color w:val="auto"/>
        </w:rPr>
      </w:pPr>
    </w:p>
    <w:p>
      <w:pPr>
        <w:ind w:left="320" w:hanging="314"/>
        <w:spacing w:after="0"/>
        <w:tabs>
          <w:tab w:leader="none" w:pos="32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right="5320" w:firstLine="6"/>
        <w:spacing w:after="0" w:line="486" w:lineRule="auto"/>
        <w:tabs>
          <w:tab w:leader="none" w:pos="378"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 3,112,812.00</w:t>
      </w:r>
    </w:p>
    <w:p>
      <w:pPr>
        <w:spacing w:after="0" w:line="1" w:lineRule="exact"/>
        <w:rPr>
          <w:rFonts w:ascii="Times New Roman" w:cs="Times New Roman" w:eastAsia="Times New Roman" w:hAnsi="Times New Roman"/>
          <w:sz w:val="22"/>
          <w:szCs w:val="22"/>
          <w:color w:val="auto"/>
        </w:rPr>
      </w:pPr>
    </w:p>
    <w:p>
      <w:pPr>
        <w:ind w:left="380" w:hanging="374"/>
        <w:spacing w:after="0"/>
        <w:tabs>
          <w:tab w:leader="none" w:pos="38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Ownership of 5 Percent or Less of a Class.</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ectPr>
          <w:pgSz w:w="11900" w:h="16838" w:orient="portrait"/>
          <w:cols w:equalWidth="0" w:num="2">
            <w:col w:w="620" w:space="300"/>
            <w:col w:w="10220"/>
          </w:cols>
          <w:pgMar w:left="360" w:top="126" w:right="399" w:bottom="0" w:gutter="0" w:footer="0" w:header="0"/>
          <w:type w:val="continuous"/>
        </w:sect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9.</w:t>
      </w:r>
      <w:r>
        <w:rPr>
          <w:sz w:val="20"/>
          <w:szCs w:val="20"/>
          <w:color w:val="auto"/>
        </w:rPr>
        <w:tab/>
      </w:r>
      <w:r>
        <w:rPr>
          <w:rFonts w:ascii="Times New Roman" w:cs="Times New Roman" w:eastAsia="Times New Roman" w:hAnsi="Times New Roman"/>
          <w:sz w:val="21"/>
          <w:szCs w:val="21"/>
          <w:color w:val="auto"/>
        </w:rPr>
        <w:t>Notice of Dissolution of Group.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10.</w:t>
      </w:r>
      <w:r>
        <w:rPr>
          <w:sz w:val="20"/>
          <w:szCs w:val="20"/>
          <w:color w:val="auto"/>
        </w:rPr>
        <w:tab/>
      </w:r>
      <w:r>
        <w:rPr>
          <w:rFonts w:ascii="Times New Roman" w:cs="Times New Roman" w:eastAsia="Times New Roman" w:hAnsi="Times New Roman"/>
          <w:sz w:val="21"/>
          <w:szCs w:val="21"/>
          <w:color w:val="auto"/>
        </w:rPr>
        <w:t>Certifications:</w:t>
      </w:r>
    </w:p>
    <w:p>
      <w:pPr>
        <w:spacing w:after="0" w:line="44" w:lineRule="exact"/>
        <w:rPr>
          <w:sz w:val="20"/>
          <w:szCs w:val="20"/>
          <w:color w:val="auto"/>
        </w:rPr>
      </w:pPr>
    </w:p>
    <w:p>
      <w:pPr>
        <w:ind w:left="940" w:right="40"/>
        <w:spacing w:after="0" w:line="238"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ectPr>
          <w:pgSz w:w="11900" w:h="16838" w:orient="portrait"/>
          <w:cols w:equalWidth="0" w:num="1">
            <w:col w:w="11140"/>
          </w:cols>
          <w:pgMar w:left="360" w:top="126" w:right="399" w:bottom="0" w:gutter="0" w:footer="0" w:header="0"/>
          <w:type w:val="continuous"/>
        </w:sectPr>
      </w:pPr>
    </w:p>
    <w:bookmarkStart w:id="3" w:name="page4"/>
    <w:bookmarkEnd w:id="3"/>
    <w:p>
      <w:pPr>
        <w:ind w:left="2900"/>
        <w:spacing w:after="0"/>
        <w:rPr>
          <w:sz w:val="20"/>
          <w:szCs w:val="20"/>
          <w:color w:val="auto"/>
        </w:rPr>
      </w:pPr>
      <w:r>
        <w:rPr>
          <w:rFonts w:ascii="Times New Roman" w:cs="Times New Roman" w:eastAsia="Times New Roman" w:hAnsi="Times New Roman"/>
          <w:sz w:val="22"/>
          <w:szCs w:val="22"/>
          <w:color w:val="auto"/>
        </w:rPr>
        <w:t>Van Berkom &amp; Associates Inc.</w:t>
      </w:r>
    </w:p>
    <w:p>
      <w:pPr>
        <w:spacing w:after="0" w:line="153" w:lineRule="exact"/>
        <w:rPr>
          <w:sz w:val="20"/>
          <w:szCs w:val="20"/>
          <w:color w:val="auto"/>
        </w:rPr>
      </w:pPr>
    </w:p>
    <w:p>
      <w:pPr>
        <w:ind w:left="5700"/>
        <w:spacing w:after="0"/>
        <w:tabs>
          <w:tab w:leader="none" w:pos="67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Mathieu Sirois</w:t>
      </w:r>
    </w:p>
    <w:p>
      <w:pPr>
        <w:jc w:val="right"/>
        <w:spacing w:after="0" w:line="180" w:lineRule="auto"/>
        <w:rPr>
          <w:sz w:val="20"/>
          <w:szCs w:val="20"/>
          <w:color w:val="auto"/>
        </w:rPr>
      </w:pPr>
      <w:r>
        <w:rPr>
          <w:rFonts w:ascii="Times New Roman" w:cs="Times New Roman" w:eastAsia="Times New Roman" w:hAnsi="Times New Roman"/>
          <w:sz w:val="36"/>
          <w:szCs w:val="36"/>
          <w:color w:val="auto"/>
          <w:vertAlign w:val="subscript"/>
        </w:rPr>
        <w:t>Name/Title:</w:t>
      </w:r>
      <w:r>
        <w:rPr>
          <w:rFonts w:ascii="Times New Roman" w:cs="Times New Roman" w:eastAsia="Times New Roman" w:hAnsi="Times New Roman"/>
          <w:sz w:val="19"/>
          <w:szCs w:val="19"/>
          <w:color w:val="auto"/>
        </w:rPr>
        <w:t xml:space="preserve"> President and Senior Portfoilio Manager, U.S.</w:t>
      </w:r>
    </w:p>
    <w:p>
      <w:pPr>
        <w:spacing w:after="0" w:line="1"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22"/>
          <w:szCs w:val="22"/>
          <w:color w:val="auto"/>
        </w:rPr>
        <w:t>Small-CapEquities</w:t>
      </w:r>
    </w:p>
    <w:p>
      <w:pPr>
        <w:spacing w:after="0" w:line="20" w:lineRule="exact"/>
        <w:rPr>
          <w:sz w:val="20"/>
          <w:szCs w:val="20"/>
          <w:color w:val="auto"/>
        </w:rPr>
      </w:pPr>
    </w:p>
    <w:p>
      <w:pPr>
        <w:ind w:left="5700"/>
        <w:spacing w:after="0"/>
        <w:tabs>
          <w:tab w:leader="none" w:pos="676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01/20/2026</w:t>
      </w:r>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Comments accompanying signature: </w:t>
      </w:r>
      <w:r>
        <w:rPr>
          <w:rFonts w:ascii="Times New Roman" w:cs="Times New Roman" w:eastAsia="Times New Roman" w:hAnsi="Times New Roman"/>
          <w:sz w:val="22"/>
          <w:szCs w:val="22"/>
          <w:color w:val="auto"/>
        </w:rPr>
        <w:t>N/A</w:t>
      </w:r>
    </w:p>
    <w:p>
      <w:pPr>
        <w:sectPr>
          <w:pgSz w:w="11900" w:h="16838" w:orient="portrait"/>
          <w:cols w:equalWidth="0" w:num="1">
            <w:col w:w="10760"/>
          </w:cols>
          <w:pgMar w:left="320" w:top="112" w:right="819" w:bottom="1440" w:gutter="0" w:footer="0" w:header="0"/>
        </w:sectPr>
      </w:pPr>
    </w:p>
    <w:bookmarkStart w:id="4" w:name="page5"/>
    <w:bookmarkEnd w:id="4"/>
    <w:p>
      <w:pPr>
        <w:spacing w:after="0" w:line="199" w:lineRule="exact"/>
        <w:rPr>
          <w:sz w:val="20"/>
          <w:szCs w:val="20"/>
          <w:color w:val="auto"/>
        </w:rPr>
      </w:pPr>
    </w:p>
    <w:p>
      <w:pPr>
        <w:ind w:left="2540"/>
        <w:spacing w:after="0"/>
        <w:rPr>
          <w:sz w:val="20"/>
          <w:szCs w:val="20"/>
          <w:color w:val="auto"/>
        </w:rPr>
      </w:pPr>
      <w:r>
        <w:rPr>
          <w:rFonts w:ascii="Courier New" w:cs="Courier New" w:eastAsia="Courier New" w:hAnsi="Courier New"/>
          <w:sz w:val="18"/>
          <w:szCs w:val="18"/>
          <w:color w:val="auto"/>
        </w:rPr>
        <w:t>SECURITIES AND EXCHANGE COMMISSION</w:t>
      </w:r>
    </w:p>
    <w:p>
      <w:pPr>
        <w:spacing w:after="0" w:line="31"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WASHINGTON, DC 20549</w:t>
      </w:r>
    </w:p>
    <w:p>
      <w:pPr>
        <w:spacing w:after="0" w:line="169" w:lineRule="exact"/>
        <w:rPr>
          <w:sz w:val="20"/>
          <w:szCs w:val="20"/>
          <w:color w:val="auto"/>
        </w:rPr>
      </w:pPr>
    </w:p>
    <w:p>
      <w:pPr>
        <w:jc w:val="center"/>
        <w:ind w:right="1699"/>
        <w:spacing w:after="0"/>
        <w:rPr>
          <w:sz w:val="20"/>
          <w:szCs w:val="20"/>
          <w:color w:val="auto"/>
        </w:rPr>
      </w:pPr>
      <w:r>
        <w:rPr>
          <w:rFonts w:ascii="Courier New" w:cs="Courier New" w:eastAsia="Courier New" w:hAnsi="Courier New"/>
          <w:sz w:val="18"/>
          <w:szCs w:val="18"/>
          <w:color w:val="auto"/>
        </w:rPr>
        <w:t>SCHEDULE 13G</w:t>
      </w:r>
    </w:p>
    <w:p>
      <w:pPr>
        <w:spacing w:after="0" w:line="31" w:lineRule="exact"/>
        <w:rPr>
          <w:sz w:val="20"/>
          <w:szCs w:val="20"/>
          <w:color w:val="auto"/>
        </w:rPr>
      </w:pPr>
    </w:p>
    <w:p>
      <w:pPr>
        <w:jc w:val="center"/>
        <w:ind w:right="1699"/>
        <w:spacing w:after="0"/>
        <w:rPr>
          <w:sz w:val="20"/>
          <w:szCs w:val="20"/>
          <w:color w:val="auto"/>
        </w:rPr>
      </w:pPr>
      <w:r>
        <w:rPr>
          <w:rFonts w:ascii="Courier New" w:cs="Courier New" w:eastAsia="Courier New" w:hAnsi="Courier New"/>
          <w:sz w:val="18"/>
          <w:szCs w:val="18"/>
          <w:color w:val="auto"/>
        </w:rPr>
        <w:t>(Rule 13d-102)</w:t>
      </w:r>
    </w:p>
    <w:p>
      <w:pPr>
        <w:spacing w:after="0" w:line="372" w:lineRule="exact"/>
        <w:rPr>
          <w:sz w:val="20"/>
          <w:szCs w:val="20"/>
          <w:color w:val="auto"/>
        </w:rPr>
      </w:pPr>
    </w:p>
    <w:p>
      <w:pPr>
        <w:ind w:left="1380"/>
        <w:spacing w:after="0"/>
        <w:rPr>
          <w:sz w:val="20"/>
          <w:szCs w:val="20"/>
          <w:color w:val="auto"/>
        </w:rPr>
      </w:pPr>
      <w:r>
        <w:rPr>
          <w:rFonts w:ascii="Courier New" w:cs="Courier New" w:eastAsia="Courier New" w:hAnsi="Courier New"/>
          <w:sz w:val="18"/>
          <w:szCs w:val="18"/>
          <w:color w:val="auto"/>
        </w:rPr>
        <w:t>INFORMATION TO BE INCLUDED IN STATEMENTS FILED PURSUANT</w:t>
      </w:r>
    </w:p>
    <w:p>
      <w:pPr>
        <w:spacing w:after="0" w:line="29"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TO RULES 13d-1(b)(c), AND (d) AND AMENDMENTS THERETO FILED</w:t>
      </w:r>
    </w:p>
    <w:p>
      <w:pPr>
        <w:ind w:left="2960"/>
        <w:spacing w:after="0"/>
        <w:rPr>
          <w:sz w:val="20"/>
          <w:szCs w:val="20"/>
          <w:color w:val="auto"/>
        </w:rPr>
      </w:pPr>
      <w:r>
        <w:rPr>
          <w:rFonts w:ascii="Courier New" w:cs="Courier New" w:eastAsia="Courier New" w:hAnsi="Courier New"/>
          <w:sz w:val="18"/>
          <w:szCs w:val="18"/>
          <w:color w:val="auto"/>
        </w:rPr>
        <w:t>PURSUANT TO RULE 13d-2(b)</w:t>
      </w:r>
    </w:p>
    <w:p>
      <w:pPr>
        <w:spacing w:after="0" w:line="200" w:lineRule="exact"/>
        <w:rPr>
          <w:sz w:val="20"/>
          <w:szCs w:val="20"/>
          <w:color w:val="auto"/>
        </w:rPr>
      </w:pPr>
    </w:p>
    <w:p>
      <w:pPr>
        <w:spacing w:after="0" w:line="374" w:lineRule="exact"/>
        <w:rPr>
          <w:sz w:val="20"/>
          <w:szCs w:val="20"/>
          <w:color w:val="auto"/>
        </w:rPr>
      </w:pPr>
    </w:p>
    <w:p>
      <w:pPr>
        <w:ind w:left="3060"/>
        <w:spacing w:after="0"/>
        <w:rPr>
          <w:sz w:val="20"/>
          <w:szCs w:val="20"/>
          <w:color w:val="auto"/>
        </w:rPr>
      </w:pPr>
      <w:r>
        <w:rPr>
          <w:rFonts w:ascii="Courier New" w:cs="Courier New" w:eastAsia="Courier New" w:hAnsi="Courier New"/>
          <w:sz w:val="18"/>
          <w:szCs w:val="18"/>
          <w:color w:val="auto"/>
        </w:rPr>
        <w:t>Pennant Group Inc. (PNTG)</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ind w:left="3380"/>
        <w:spacing w:after="0"/>
        <w:rPr>
          <w:sz w:val="20"/>
          <w:szCs w:val="20"/>
          <w:color w:val="auto"/>
        </w:rPr>
      </w:pPr>
      <w:r>
        <w:rPr>
          <w:rFonts w:ascii="Courier New" w:cs="Courier New" w:eastAsia="Courier New" w:hAnsi="Courier New"/>
          <w:sz w:val="18"/>
          <w:szCs w:val="18"/>
          <w:color w:val="auto"/>
        </w:rPr>
        <w:t>(Name of Issuer)</w:t>
      </w:r>
    </w:p>
    <w:p>
      <w:pPr>
        <w:spacing w:after="0" w:line="372"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Common Stock</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ind w:left="2640"/>
        <w:spacing w:after="0"/>
        <w:rPr>
          <w:sz w:val="20"/>
          <w:szCs w:val="20"/>
          <w:color w:val="auto"/>
        </w:rPr>
      </w:pPr>
      <w:r>
        <w:rPr>
          <w:rFonts w:ascii="Courier New" w:cs="Courier New" w:eastAsia="Courier New" w:hAnsi="Courier New"/>
          <w:sz w:val="18"/>
          <w:szCs w:val="18"/>
          <w:color w:val="auto"/>
        </w:rPr>
        <w:t>(Title of Class of Securities)</w:t>
      </w:r>
    </w:p>
    <w:p>
      <w:pPr>
        <w:spacing w:after="0" w:line="372"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70805E109</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ind w:left="3480"/>
        <w:spacing w:after="0"/>
        <w:rPr>
          <w:sz w:val="20"/>
          <w:szCs w:val="20"/>
          <w:color w:val="auto"/>
        </w:rPr>
      </w:pPr>
      <w:r>
        <w:rPr>
          <w:rFonts w:ascii="Courier New" w:cs="Courier New" w:eastAsia="Courier New" w:hAnsi="Courier New"/>
          <w:sz w:val="18"/>
          <w:szCs w:val="18"/>
          <w:color w:val="auto"/>
        </w:rPr>
        <w:t>(CUSIP Number)</w:t>
      </w:r>
    </w:p>
    <w:p>
      <w:pPr>
        <w:spacing w:after="0" w:line="372"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September 30, 2025</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ind w:left="1280"/>
        <w:spacing w:after="0"/>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372" w:lineRule="exact"/>
        <w:rPr>
          <w:sz w:val="20"/>
          <w:szCs w:val="20"/>
          <w:color w:val="auto"/>
        </w:rPr>
      </w:pPr>
    </w:p>
    <w:p>
      <w:pPr>
        <w:ind w:left="540"/>
        <w:spacing w:after="0"/>
        <w:tabs>
          <w:tab w:leader="none" w:pos="1680" w:val="left"/>
          <w:tab w:leader="none" w:pos="3040" w:val="left"/>
          <w:tab w:leader="none" w:pos="3880" w:val="left"/>
          <w:tab w:leader="none" w:pos="5040" w:val="left"/>
          <w:tab w:leader="none" w:pos="6100" w:val="left"/>
        </w:tabs>
        <w:rPr>
          <w:sz w:val="20"/>
          <w:szCs w:val="20"/>
          <w:color w:val="auto"/>
        </w:rPr>
      </w:pPr>
      <w:r>
        <w:rPr>
          <w:rFonts w:ascii="Courier New" w:cs="Courier New" w:eastAsia="Courier New" w:hAnsi="Courier New"/>
          <w:sz w:val="18"/>
          <w:szCs w:val="18"/>
          <w:color w:val="auto"/>
        </w:rPr>
        <w:t>Check the</w:t>
        <w:tab/>
        <w:t>appropriate</w:t>
        <w:tab/>
        <w:t>box to</w:t>
        <w:tab/>
        <w:t>designate</w:t>
        <w:tab/>
        <w:t>the rule</w:t>
      </w:r>
      <w:r>
        <w:rPr>
          <w:sz w:val="20"/>
          <w:szCs w:val="20"/>
          <w:color w:val="auto"/>
        </w:rPr>
        <w:tab/>
      </w:r>
      <w:r>
        <w:rPr>
          <w:rFonts w:ascii="Courier New" w:cs="Courier New" w:eastAsia="Courier New" w:hAnsi="Courier New"/>
          <w:sz w:val="16"/>
          <w:szCs w:val="16"/>
          <w:color w:val="auto"/>
        </w:rPr>
        <w:t>pursuant to which this</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Schedule is filed:</w:t>
      </w:r>
    </w:p>
    <w:p>
      <w:pPr>
        <w:spacing w:after="0" w:line="169" w:lineRule="exact"/>
        <w:rPr>
          <w:sz w:val="20"/>
          <w:szCs w:val="20"/>
          <w:color w:val="auto"/>
        </w:rPr>
      </w:pPr>
    </w:p>
    <w:p>
      <w:pPr>
        <w:jc w:val="both"/>
        <w:ind w:left="1060" w:right="7279" w:firstLine="1"/>
        <w:spacing w:after="0" w:line="536" w:lineRule="auto"/>
        <w:tabs>
          <w:tab w:leader="none" w:pos="1481" w:val="left"/>
        </w:tabs>
        <w:numPr>
          <w:ilvl w:val="1"/>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13d-1(b) [_] Rule 13d-1(c)</w:t>
      </w:r>
    </w:p>
    <w:p>
      <w:pPr>
        <w:ind w:left="1060"/>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[_] Rule 13d-1(d)</w:t>
      </w:r>
    </w:p>
    <w:p>
      <w:pPr>
        <w:spacing w:after="0" w:line="200" w:lineRule="exact"/>
        <w:rPr>
          <w:rFonts w:ascii="Courier New" w:cs="Courier New" w:eastAsia="Courier New" w:hAnsi="Courier New"/>
          <w:sz w:val="16"/>
          <w:szCs w:val="16"/>
          <w:color w:val="auto"/>
        </w:rPr>
      </w:pPr>
    </w:p>
    <w:p>
      <w:pPr>
        <w:spacing w:after="0" w:line="203"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31" w:lineRule="exact"/>
        <w:rPr>
          <w:sz w:val="20"/>
          <w:szCs w:val="20"/>
          <w:color w:val="auto"/>
        </w:rPr>
      </w:pPr>
    </w:p>
    <w:p>
      <w:pPr>
        <w:jc w:val="both"/>
        <w:ind w:left="540" w:right="1699" w:hanging="532"/>
        <w:spacing w:after="0" w:line="261" w:lineRule="auto"/>
        <w:tabs>
          <w:tab w:leader="none" w:pos="54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93" w:lineRule="exact"/>
        <w:rPr>
          <w:sz w:val="20"/>
          <w:szCs w:val="20"/>
          <w:color w:val="auto"/>
        </w:rPr>
      </w:pPr>
    </w:p>
    <w:p>
      <w:pPr>
        <w:jc w:val="both"/>
        <w:ind w:right="1699" w:firstLine="526"/>
        <w:spacing w:after="0" w:line="265" w:lineRule="auto"/>
        <w:rPr>
          <w:sz w:val="20"/>
          <w:szCs w:val="20"/>
          <w:color w:val="auto"/>
        </w:rPr>
      </w:pPr>
      <w:r>
        <w:rPr>
          <w:rFonts w:ascii="Courier New" w:cs="Courier New" w:eastAsia="Courier New" w:hAnsi="Courier New"/>
          <w:sz w:val="18"/>
          <w:szCs w:val="18"/>
          <w:color w:val="auto"/>
        </w:rPr>
        <w:t>The information required in the remainder of this cover page shall not be deemed to be "filed" for the purpose of Section 18 of the Securities Exchange Act of 1934 or otherwise subject to the liabilities of that section of the Act but shall be subject to all other provisions of the Act (however, see the Notes).</w:t>
      </w:r>
    </w:p>
    <w:p>
      <w:pPr>
        <w:spacing w:after="0" w:line="265" w:lineRule="exact"/>
        <w:rPr>
          <w:sz w:val="20"/>
          <w:szCs w:val="20"/>
          <w:color w:val="auto"/>
        </w:rPr>
      </w:pPr>
    </w:p>
    <w:p>
      <w:pPr>
        <w:spacing w:after="0"/>
        <w:tabs>
          <w:tab w:leader="none" w:pos="1360" w:val="left"/>
        </w:tabs>
        <w:rPr>
          <w:sz w:val="20"/>
          <w:szCs w:val="20"/>
          <w:color w:val="auto"/>
        </w:rPr>
      </w:pPr>
      <w:r>
        <w:rPr>
          <w:rFonts w:ascii="Courier New" w:cs="Courier New" w:eastAsia="Courier New" w:hAnsi="Courier New"/>
          <w:sz w:val="18"/>
          <w:szCs w:val="18"/>
          <w:color w:val="auto"/>
        </w:rPr>
        <w:t>CUSIP No.</w:t>
      </w:r>
      <w:r>
        <w:rPr>
          <w:sz w:val="20"/>
          <w:szCs w:val="20"/>
          <w:color w:val="auto"/>
        </w:rPr>
        <w:tab/>
      </w:r>
      <w:r>
        <w:rPr>
          <w:rFonts w:ascii="Courier New" w:cs="Courier New" w:eastAsia="Courier New" w:hAnsi="Courier New"/>
          <w:sz w:val="16"/>
          <w:szCs w:val="16"/>
          <w:color w:val="auto"/>
        </w:rPr>
        <w:t>70805E109</w:t>
      </w:r>
    </w:p>
    <w:p>
      <w:pPr>
        <w:spacing w:after="0" w:line="31" w:lineRule="exact"/>
        <w:rPr>
          <w:sz w:val="20"/>
          <w:szCs w:val="20"/>
          <w:color w:val="auto"/>
        </w:rPr>
      </w:pPr>
    </w:p>
    <w:p>
      <w:pPr>
        <w:ind w:left="1280"/>
        <w:spacing w:after="0"/>
        <w:rPr>
          <w:sz w:val="20"/>
          <w:szCs w:val="20"/>
          <w:color w:val="auto"/>
        </w:rPr>
      </w:pPr>
      <w:r>
        <w:rPr>
          <w:rFonts w:ascii="Courier New" w:cs="Courier New" w:eastAsia="Courier New" w:hAnsi="Courier New"/>
          <w:sz w:val="18"/>
          <w:szCs w:val="18"/>
          <w:color w:val="auto"/>
        </w:rPr>
        <w:t>---------------------</w:t>
      </w:r>
    </w:p>
    <w:p>
      <w:pPr>
        <w:spacing w:after="0" w:line="372" w:lineRule="exact"/>
        <w:rPr>
          <w:sz w:val="20"/>
          <w:szCs w:val="20"/>
          <w:color w:val="auto"/>
        </w:rPr>
      </w:pPr>
    </w:p>
    <w:p>
      <w:pPr>
        <w:ind w:left="320" w:right="6859" w:hanging="312"/>
        <w:spacing w:after="0" w:line="536" w:lineRule="auto"/>
        <w:tabs>
          <w:tab w:leader="none" w:pos="320"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NAME OF REPORTING PERSONS Van Berkom &amp; Associates Inc.</w:t>
      </w:r>
    </w:p>
    <w:p>
      <w:pPr>
        <w:ind w:left="320" w:hanging="312"/>
        <w:spacing w:after="0"/>
        <w:tabs>
          <w:tab w:leader="none" w:pos="32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spacing w:after="0" w:line="29" w:lineRule="exact"/>
        <w:rPr>
          <w:sz w:val="20"/>
          <w:szCs w:val="20"/>
          <w:color w:val="auto"/>
        </w:rPr>
      </w:pPr>
    </w:p>
    <w:p>
      <w:pPr>
        <w:ind w:left="6860"/>
        <w:spacing w:after="0"/>
        <w:rPr>
          <w:sz w:val="20"/>
          <w:szCs w:val="20"/>
          <w:color w:val="auto"/>
        </w:rPr>
      </w:pPr>
      <w:r>
        <w:rPr>
          <w:rFonts w:ascii="Courier New" w:cs="Courier New" w:eastAsia="Courier New" w:hAnsi="Courier New"/>
          <w:sz w:val="18"/>
          <w:szCs w:val="18"/>
          <w:color w:val="auto"/>
        </w:rPr>
        <w:t>(a) [_]</w:t>
      </w:r>
    </w:p>
    <w:p>
      <w:pPr>
        <w:ind w:left="6860"/>
        <w:spacing w:after="0"/>
        <w:rPr>
          <w:sz w:val="20"/>
          <w:szCs w:val="20"/>
          <w:color w:val="auto"/>
        </w:rPr>
      </w:pPr>
      <w:r>
        <w:rPr>
          <w:rFonts w:ascii="Courier New" w:cs="Courier New" w:eastAsia="Courier New" w:hAnsi="Courier New"/>
          <w:sz w:val="18"/>
          <w:szCs w:val="18"/>
          <w:color w:val="auto"/>
        </w:rPr>
        <w:t>(b) [_]</w:t>
      </w:r>
    </w:p>
    <w:p>
      <w:pPr>
        <w:spacing w:after="0" w:line="169" w:lineRule="exact"/>
        <w:rPr>
          <w:sz w:val="20"/>
          <w:szCs w:val="20"/>
          <w:color w:val="auto"/>
        </w:rPr>
      </w:pPr>
    </w:p>
    <w:p>
      <w:pPr>
        <w:ind w:left="320" w:hanging="312"/>
        <w:spacing w:after="0"/>
        <w:tabs>
          <w:tab w:leader="none" w:pos="32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0" w:lineRule="exact"/>
        <w:rPr>
          <w:rFonts w:ascii="Courier New" w:cs="Courier New" w:eastAsia="Courier New" w:hAnsi="Courier New"/>
          <w:sz w:val="18"/>
          <w:szCs w:val="18"/>
          <w:color w:val="auto"/>
        </w:rPr>
      </w:pPr>
    </w:p>
    <w:p>
      <w:pPr>
        <w:spacing w:after="0" w:line="200" w:lineRule="exact"/>
        <w:rPr>
          <w:rFonts w:ascii="Courier New" w:cs="Courier New" w:eastAsia="Courier New" w:hAnsi="Courier New"/>
          <w:sz w:val="18"/>
          <w:szCs w:val="18"/>
          <w:color w:val="auto"/>
        </w:rPr>
      </w:pPr>
    </w:p>
    <w:p>
      <w:pPr>
        <w:spacing w:after="0" w:line="206" w:lineRule="exact"/>
        <w:rPr>
          <w:rFonts w:ascii="Courier New" w:cs="Courier New" w:eastAsia="Courier New" w:hAnsi="Courier New"/>
          <w:sz w:val="18"/>
          <w:szCs w:val="18"/>
          <w:color w:val="auto"/>
        </w:rPr>
      </w:pPr>
    </w:p>
    <w:p>
      <w:pPr>
        <w:ind w:left="320" w:hanging="312"/>
        <w:spacing w:after="0"/>
        <w:tabs>
          <w:tab w:leader="none" w:pos="32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w:t>
      </w:r>
    </w:p>
    <w:p>
      <w:pPr>
        <w:spacing w:after="0" w:line="201"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Canada</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NUMBER OF SHARES BENEFICIALLY OWNED BY EACH REPORTING PERSON WITH</w:t>
      </w:r>
    </w:p>
    <w:p>
      <w:pPr>
        <w:spacing w:after="0" w:line="201" w:lineRule="exact"/>
        <w:rPr>
          <w:sz w:val="20"/>
          <w:szCs w:val="20"/>
          <w:color w:val="auto"/>
        </w:rPr>
      </w:pPr>
    </w:p>
    <w:p>
      <w:pPr>
        <w:ind w:left="320" w:right="8019" w:hanging="312"/>
        <w:spacing w:after="0" w:line="635" w:lineRule="auto"/>
        <w:tabs>
          <w:tab w:leader="none" w:pos="320" w:val="left"/>
        </w:tabs>
        <w:numPr>
          <w:ilvl w:val="0"/>
          <w:numId w:val="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SOLE VOTING POWER 3,112,812.00</w:t>
      </w:r>
    </w:p>
    <w:p>
      <w:pPr>
        <w:sectPr>
          <w:pgSz w:w="11900" w:h="17037" w:orient="portrait"/>
          <w:cols w:equalWidth="0" w:num="1">
            <w:col w:w="10139"/>
          </w:cols>
          <w:pgMar w:left="320" w:top="110" w:right="1440" w:bottom="0" w:gutter="0" w:footer="0" w:header="0"/>
        </w:sectPr>
      </w:pPr>
    </w:p>
    <w:bookmarkStart w:id="5" w:name="page6"/>
    <w:bookmarkEnd w:id="5"/>
    <w:p>
      <w:pPr>
        <w:ind w:left="320" w:right="7819" w:hanging="312"/>
        <w:spacing w:after="0" w:line="476" w:lineRule="auto"/>
        <w:tabs>
          <w:tab w:leader="none" w:pos="32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VOTING POWER 0</w:t>
      </w:r>
    </w:p>
    <w:p>
      <w:pPr>
        <w:spacing w:after="0" w:line="1" w:lineRule="exact"/>
        <w:rPr>
          <w:rFonts w:ascii="Courier New" w:cs="Courier New" w:eastAsia="Courier New" w:hAnsi="Courier New"/>
          <w:sz w:val="18"/>
          <w:szCs w:val="18"/>
          <w:color w:val="auto"/>
        </w:rPr>
      </w:pPr>
    </w:p>
    <w:p>
      <w:pPr>
        <w:ind w:left="320" w:right="7499" w:hanging="312"/>
        <w:spacing w:after="0" w:line="476" w:lineRule="auto"/>
        <w:tabs>
          <w:tab w:leader="none" w:pos="32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DISPOSITIVE POWER 3,112,812.00</w:t>
      </w:r>
    </w:p>
    <w:p>
      <w:pPr>
        <w:spacing w:after="0" w:line="1" w:lineRule="exact"/>
        <w:rPr>
          <w:rFonts w:ascii="Courier New" w:cs="Courier New" w:eastAsia="Courier New" w:hAnsi="Courier New"/>
          <w:sz w:val="18"/>
          <w:szCs w:val="18"/>
          <w:color w:val="auto"/>
        </w:rPr>
      </w:pPr>
    </w:p>
    <w:p>
      <w:pPr>
        <w:ind w:left="320" w:right="7279" w:hanging="312"/>
        <w:spacing w:after="0" w:line="476" w:lineRule="auto"/>
        <w:tabs>
          <w:tab w:leader="none" w:pos="32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 0</w:t>
      </w:r>
    </w:p>
    <w:p>
      <w:pPr>
        <w:spacing w:after="0" w:line="1" w:lineRule="exact"/>
        <w:rPr>
          <w:rFonts w:ascii="Courier New" w:cs="Courier New" w:eastAsia="Courier New" w:hAnsi="Courier New"/>
          <w:sz w:val="18"/>
          <w:szCs w:val="18"/>
          <w:color w:val="auto"/>
        </w:rPr>
      </w:pPr>
    </w:p>
    <w:p>
      <w:pPr>
        <w:ind w:left="320" w:right="3499" w:hanging="312"/>
        <w:spacing w:after="0" w:line="476" w:lineRule="auto"/>
        <w:tabs>
          <w:tab w:leader="none" w:pos="32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3,112,812.00</w:t>
      </w:r>
    </w:p>
    <w:p>
      <w:pPr>
        <w:spacing w:after="0" w:line="1" w:lineRule="exact"/>
        <w:rPr>
          <w:rFonts w:ascii="Courier New" w:cs="Courier New" w:eastAsia="Courier New" w:hAnsi="Courier New"/>
          <w:sz w:val="18"/>
          <w:szCs w:val="18"/>
          <w:color w:val="auto"/>
        </w:rPr>
      </w:pPr>
    </w:p>
    <w:p>
      <w:pPr>
        <w:jc w:val="right"/>
        <w:ind w:left="7380" w:right="2439" w:hanging="7372"/>
        <w:spacing w:after="0" w:line="464" w:lineRule="auto"/>
        <w:tabs>
          <w:tab w:leader="none" w:pos="430" w:val="left"/>
        </w:tabs>
        <w:numPr>
          <w:ilvl w:val="0"/>
          <w:numId w:val="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CHECK BOX IF THE AGGREGATE AMOUNT IN ROW (9) EXCLUDES CERTAIN SHARES* [_]</w:t>
      </w:r>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11.PERCENT OF CLASS REPRESENTED BY AMOUNT IN ROW 9</w:t>
      </w:r>
    </w:p>
    <w:p>
      <w:pPr>
        <w:spacing w:after="0" w:line="201"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9.01%</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12.TYPE OF REPORTING PERSON*</w:t>
      </w:r>
    </w:p>
    <w:p>
      <w:pPr>
        <w:spacing w:after="0" w:line="201"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IA</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ectPr>
          <w:pgSz w:w="11900" w:h="16838" w:orient="portrait"/>
          <w:cols w:equalWidth="0" w:num="1">
            <w:col w:w="10139"/>
          </w:cols>
          <w:pgMar w:left="320" w:top="110" w:right="1440" w:bottom="1440" w:gutter="0" w:footer="0" w:header="0"/>
        </w:sectPr>
      </w:pPr>
    </w:p>
    <w:bookmarkStart w:id="6" w:name="page7"/>
    <w:bookmarkEnd w:id="6"/>
    <w:p>
      <w:pPr>
        <w:spacing w:after="0"/>
        <w:tabs>
          <w:tab w:leader="none" w:pos="1260" w:val="left"/>
        </w:tabs>
        <w:rPr>
          <w:sz w:val="20"/>
          <w:szCs w:val="20"/>
          <w:color w:val="auto"/>
        </w:rPr>
      </w:pPr>
      <w:r>
        <w:rPr>
          <w:rFonts w:ascii="Courier New" w:cs="Courier New" w:eastAsia="Courier New" w:hAnsi="Courier New"/>
          <w:sz w:val="18"/>
          <w:szCs w:val="18"/>
          <w:color w:val="auto"/>
        </w:rPr>
        <w:t>CUSIP No.</w:t>
      </w:r>
      <w:r>
        <w:rPr>
          <w:sz w:val="20"/>
          <w:szCs w:val="20"/>
          <w:color w:val="auto"/>
        </w:rPr>
        <w:tab/>
      </w:r>
      <w:r>
        <w:rPr>
          <w:rFonts w:ascii="Courier New" w:cs="Courier New" w:eastAsia="Courier New" w:hAnsi="Courier New"/>
          <w:sz w:val="16"/>
          <w:szCs w:val="16"/>
          <w:color w:val="auto"/>
        </w:rPr>
        <w:t>70805E109</w:t>
      </w:r>
    </w:p>
    <w:p>
      <w:pPr>
        <w:spacing w:after="0" w:line="31" w:lineRule="exact"/>
        <w:rPr>
          <w:sz w:val="20"/>
          <w:szCs w:val="20"/>
          <w:color w:val="auto"/>
        </w:rPr>
      </w:pPr>
    </w:p>
    <w:p>
      <w:pPr>
        <w:ind w:left="1280"/>
        <w:spacing w:after="0"/>
        <w:rPr>
          <w:sz w:val="20"/>
          <w:szCs w:val="20"/>
          <w:color w:val="auto"/>
        </w:rPr>
      </w:pPr>
      <w:r>
        <w:rPr>
          <w:rFonts w:ascii="Courier New" w:cs="Courier New" w:eastAsia="Courier New" w:hAnsi="Courier New"/>
          <w:sz w:val="18"/>
          <w:szCs w:val="18"/>
          <w:color w:val="auto"/>
        </w:rPr>
        <w:t>---------------------</w:t>
      </w:r>
    </w:p>
    <w:p>
      <w:pPr>
        <w:spacing w:after="0" w:line="372" w:lineRule="exact"/>
        <w:rPr>
          <w:sz w:val="20"/>
          <w:szCs w:val="20"/>
          <w:color w:val="auto"/>
        </w:rPr>
      </w:pPr>
    </w:p>
    <w:p>
      <w:pPr>
        <w:ind w:left="320" w:hanging="312"/>
        <w:spacing w:after="0"/>
        <w:tabs>
          <w:tab w:leader="none" w:pos="320"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PERSONS</w:t>
      </w:r>
    </w:p>
    <w:p>
      <w:pPr>
        <w:spacing w:after="0" w:line="30" w:lineRule="exact"/>
        <w:rPr>
          <w:rFonts w:ascii="Courier New" w:cs="Courier New" w:eastAsia="Courier New" w:hAnsi="Courier New"/>
          <w:sz w:val="18"/>
          <w:szCs w:val="18"/>
          <w:color w:val="auto"/>
        </w:rPr>
      </w:pPr>
    </w:p>
    <w:p>
      <w:pPr>
        <w:ind w:left="320" w:right="3699"/>
        <w:spacing w:after="0" w:line="45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I.R.S. IDENTIFICATION NO. OF ABOVE PERSONS (ENTITIES ONLY) Van Berkom &amp; Associates Inc.</w:t>
      </w:r>
    </w:p>
    <w:p>
      <w:pPr>
        <w:spacing w:after="0" w:line="1" w:lineRule="exact"/>
        <w:rPr>
          <w:rFonts w:ascii="Courier New" w:cs="Courier New" w:eastAsia="Courier New" w:hAnsi="Courier New"/>
          <w:sz w:val="18"/>
          <w:szCs w:val="18"/>
          <w:color w:val="auto"/>
        </w:rPr>
      </w:pPr>
    </w:p>
    <w:p>
      <w:pPr>
        <w:ind w:left="320" w:hanging="312"/>
        <w:spacing w:after="0"/>
        <w:tabs>
          <w:tab w:leader="none" w:pos="320"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spacing w:after="0" w:line="29" w:lineRule="exact"/>
        <w:rPr>
          <w:sz w:val="20"/>
          <w:szCs w:val="20"/>
          <w:color w:val="auto"/>
        </w:rPr>
      </w:pPr>
    </w:p>
    <w:p>
      <w:pPr>
        <w:ind w:left="6860"/>
        <w:spacing w:after="0"/>
        <w:rPr>
          <w:sz w:val="20"/>
          <w:szCs w:val="20"/>
          <w:color w:val="auto"/>
        </w:rPr>
      </w:pPr>
      <w:r>
        <w:rPr>
          <w:rFonts w:ascii="Courier New" w:cs="Courier New" w:eastAsia="Courier New" w:hAnsi="Courier New"/>
          <w:sz w:val="18"/>
          <w:szCs w:val="18"/>
          <w:color w:val="auto"/>
        </w:rPr>
        <w:t>(a) [_]</w:t>
      </w:r>
    </w:p>
    <w:p>
      <w:pPr>
        <w:ind w:left="6860"/>
        <w:spacing w:after="0"/>
        <w:rPr>
          <w:sz w:val="20"/>
          <w:szCs w:val="20"/>
          <w:color w:val="auto"/>
        </w:rPr>
      </w:pPr>
      <w:r>
        <w:rPr>
          <w:rFonts w:ascii="Courier New" w:cs="Courier New" w:eastAsia="Courier New" w:hAnsi="Courier New"/>
          <w:sz w:val="18"/>
          <w:szCs w:val="18"/>
          <w:color w:val="auto"/>
        </w:rPr>
        <w:t>(b) [_]</w:t>
      </w:r>
    </w:p>
    <w:p>
      <w:pPr>
        <w:spacing w:after="0" w:line="169" w:lineRule="exact"/>
        <w:rPr>
          <w:sz w:val="20"/>
          <w:szCs w:val="20"/>
          <w:color w:val="auto"/>
        </w:rPr>
      </w:pPr>
    </w:p>
    <w:p>
      <w:pPr>
        <w:ind w:left="320" w:hanging="312"/>
        <w:spacing w:after="0"/>
        <w:tabs>
          <w:tab w:leader="none" w:pos="320"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0" w:lineRule="exact"/>
        <w:rPr>
          <w:rFonts w:ascii="Courier New" w:cs="Courier New" w:eastAsia="Courier New" w:hAnsi="Courier New"/>
          <w:sz w:val="18"/>
          <w:szCs w:val="18"/>
          <w:color w:val="auto"/>
        </w:rPr>
      </w:pPr>
    </w:p>
    <w:p>
      <w:pPr>
        <w:spacing w:after="0" w:line="203" w:lineRule="exact"/>
        <w:rPr>
          <w:rFonts w:ascii="Courier New" w:cs="Courier New" w:eastAsia="Courier New" w:hAnsi="Courier New"/>
          <w:sz w:val="18"/>
          <w:szCs w:val="18"/>
          <w:color w:val="auto"/>
        </w:rPr>
      </w:pPr>
    </w:p>
    <w:p>
      <w:pPr>
        <w:ind w:left="320" w:right="6019" w:hanging="312"/>
        <w:spacing w:after="0" w:line="476" w:lineRule="auto"/>
        <w:tabs>
          <w:tab w:leader="none" w:pos="320"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 Canada</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NUMBER OF SHARES BENEFICIALLY OWNED BY EACH REPORTING PERSON WITH</w:t>
      </w:r>
    </w:p>
    <w:p>
      <w:pPr>
        <w:spacing w:after="0" w:line="201" w:lineRule="exact"/>
        <w:rPr>
          <w:sz w:val="20"/>
          <w:szCs w:val="20"/>
          <w:color w:val="auto"/>
        </w:rPr>
      </w:pPr>
    </w:p>
    <w:p>
      <w:pPr>
        <w:ind w:left="320" w:right="8019" w:hanging="312"/>
        <w:spacing w:after="0" w:line="536" w:lineRule="auto"/>
        <w:tabs>
          <w:tab w:leader="none" w:pos="320" w:val="left"/>
        </w:tabs>
        <w:numPr>
          <w:ilvl w:val="0"/>
          <w:numId w:val="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SOLE VOTING POWER 3,112,812.00</w:t>
      </w:r>
    </w:p>
    <w:p>
      <w:pPr>
        <w:ind w:left="320" w:right="7819" w:hanging="312"/>
        <w:spacing w:after="0" w:line="476" w:lineRule="auto"/>
        <w:tabs>
          <w:tab w:leader="none" w:pos="320"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VOTING POWER 0</w:t>
      </w:r>
    </w:p>
    <w:p>
      <w:pPr>
        <w:spacing w:after="0" w:line="1" w:lineRule="exact"/>
        <w:rPr>
          <w:rFonts w:ascii="Courier New" w:cs="Courier New" w:eastAsia="Courier New" w:hAnsi="Courier New"/>
          <w:sz w:val="18"/>
          <w:szCs w:val="18"/>
          <w:color w:val="auto"/>
        </w:rPr>
      </w:pPr>
    </w:p>
    <w:p>
      <w:pPr>
        <w:ind w:left="320" w:right="7499" w:hanging="312"/>
        <w:spacing w:after="0" w:line="476" w:lineRule="auto"/>
        <w:tabs>
          <w:tab w:leader="none" w:pos="320"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DISPOSITIVE POWER 3,112,812.00</w:t>
      </w:r>
    </w:p>
    <w:p>
      <w:pPr>
        <w:spacing w:after="0" w:line="1" w:lineRule="exact"/>
        <w:rPr>
          <w:rFonts w:ascii="Courier New" w:cs="Courier New" w:eastAsia="Courier New" w:hAnsi="Courier New"/>
          <w:sz w:val="18"/>
          <w:szCs w:val="18"/>
          <w:color w:val="auto"/>
        </w:rPr>
      </w:pPr>
    </w:p>
    <w:p>
      <w:pPr>
        <w:ind w:left="320" w:right="7279" w:hanging="312"/>
        <w:spacing w:after="0" w:line="476" w:lineRule="auto"/>
        <w:tabs>
          <w:tab w:leader="none" w:pos="320"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 0</w:t>
      </w:r>
    </w:p>
    <w:p>
      <w:pPr>
        <w:spacing w:after="0" w:line="1" w:lineRule="exact"/>
        <w:rPr>
          <w:rFonts w:ascii="Courier New" w:cs="Courier New" w:eastAsia="Courier New" w:hAnsi="Courier New"/>
          <w:sz w:val="18"/>
          <w:szCs w:val="18"/>
          <w:color w:val="auto"/>
        </w:rPr>
      </w:pPr>
    </w:p>
    <w:p>
      <w:pPr>
        <w:ind w:left="320" w:right="3499" w:hanging="312"/>
        <w:spacing w:after="0" w:line="476" w:lineRule="auto"/>
        <w:tabs>
          <w:tab w:leader="none" w:pos="320"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3,112,812.00</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10.CHECK BOX IF THE AGGREGATE AMOUNT IN ROW (9) EXCLUDES CERTAIN SHARES*</w:t>
      </w:r>
    </w:p>
    <w:p>
      <w:pPr>
        <w:spacing w:after="0" w:line="201" w:lineRule="exact"/>
        <w:rPr>
          <w:sz w:val="20"/>
          <w:szCs w:val="20"/>
          <w:color w:val="auto"/>
        </w:rPr>
      </w:pPr>
    </w:p>
    <w:p>
      <w:pPr>
        <w:jc w:val="right"/>
        <w:ind w:right="2019"/>
        <w:spacing w:after="0"/>
        <w:rPr>
          <w:sz w:val="20"/>
          <w:szCs w:val="20"/>
          <w:color w:val="auto"/>
        </w:rPr>
      </w:pPr>
      <w:r>
        <w:rPr>
          <w:rFonts w:ascii="Courier New" w:cs="Courier New" w:eastAsia="Courier New" w:hAnsi="Courier New"/>
          <w:sz w:val="18"/>
          <w:szCs w:val="18"/>
          <w:color w:val="auto"/>
        </w:rPr>
        <w:t>[_]</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11.PERCENT OF CLASS REPRESENTED BY AMOUNT IN ROW 9</w:t>
      </w:r>
    </w:p>
    <w:p>
      <w:pPr>
        <w:spacing w:after="0" w:line="201"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9.01%</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12.TYPE OF REPORTING PERSON*</w:t>
      </w:r>
    </w:p>
    <w:p>
      <w:pPr>
        <w:spacing w:after="0" w:line="201"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IA</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ectPr>
          <w:pgSz w:w="11900" w:h="16838" w:orient="portrait"/>
          <w:cols w:equalWidth="0" w:num="1">
            <w:col w:w="10139"/>
          </w:cols>
          <w:pgMar w:left="320" w:top="1095" w:right="1440" w:bottom="1440" w:gutter="0" w:footer="0" w:header="0"/>
        </w:sectPr>
      </w:pPr>
    </w:p>
    <w:bookmarkStart w:id="7" w:name="page8"/>
    <w:bookmarkEnd w:id="7"/>
    <w:p>
      <w:pPr>
        <w:spacing w:after="0"/>
        <w:tabs>
          <w:tab w:leader="none" w:pos="1260" w:val="left"/>
        </w:tabs>
        <w:rPr>
          <w:sz w:val="20"/>
          <w:szCs w:val="20"/>
          <w:color w:val="auto"/>
        </w:rPr>
      </w:pPr>
      <w:r>
        <w:rPr>
          <w:rFonts w:ascii="Courier New" w:cs="Courier New" w:eastAsia="Courier New" w:hAnsi="Courier New"/>
          <w:sz w:val="18"/>
          <w:szCs w:val="18"/>
          <w:color w:val="auto"/>
        </w:rPr>
        <w:t>CUSIP No.</w:t>
      </w:r>
      <w:r>
        <w:rPr>
          <w:sz w:val="20"/>
          <w:szCs w:val="20"/>
          <w:color w:val="auto"/>
        </w:rPr>
        <w:tab/>
      </w:r>
      <w:r>
        <w:rPr>
          <w:rFonts w:ascii="Courier New" w:cs="Courier New" w:eastAsia="Courier New" w:hAnsi="Courier New"/>
          <w:sz w:val="16"/>
          <w:szCs w:val="16"/>
          <w:color w:val="auto"/>
        </w:rPr>
        <w:t>70805E109</w:t>
      </w:r>
    </w:p>
    <w:p>
      <w:pPr>
        <w:spacing w:after="0" w:line="31" w:lineRule="exact"/>
        <w:rPr>
          <w:sz w:val="20"/>
          <w:szCs w:val="20"/>
          <w:color w:val="auto"/>
        </w:rPr>
      </w:pPr>
    </w:p>
    <w:p>
      <w:pPr>
        <w:ind w:left="1280"/>
        <w:spacing w:after="0"/>
        <w:rPr>
          <w:sz w:val="20"/>
          <w:szCs w:val="20"/>
          <w:color w:val="auto"/>
        </w:rPr>
      </w:pPr>
      <w:r>
        <w:rPr>
          <w:rFonts w:ascii="Courier New" w:cs="Courier New" w:eastAsia="Courier New" w:hAnsi="Courier New"/>
          <w:sz w:val="18"/>
          <w:szCs w:val="18"/>
          <w:color w:val="auto"/>
        </w:rPr>
        <w:t>---------------------</w:t>
      </w:r>
    </w:p>
    <w:p>
      <w:pPr>
        <w:spacing w:after="0" w:line="372" w:lineRule="exact"/>
        <w:rPr>
          <w:sz w:val="20"/>
          <w:szCs w:val="20"/>
          <w:color w:val="auto"/>
        </w:rPr>
      </w:pPr>
    </w:p>
    <w:p>
      <w:pPr>
        <w:ind w:left="320" w:hanging="312"/>
        <w:spacing w:after="0"/>
        <w:tabs>
          <w:tab w:leader="none" w:pos="320"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PERSONS</w:t>
      </w:r>
    </w:p>
    <w:p>
      <w:pPr>
        <w:spacing w:after="0" w:line="30" w:lineRule="exact"/>
        <w:rPr>
          <w:rFonts w:ascii="Courier New" w:cs="Courier New" w:eastAsia="Courier New" w:hAnsi="Courier New"/>
          <w:sz w:val="18"/>
          <w:szCs w:val="18"/>
          <w:color w:val="auto"/>
        </w:rPr>
      </w:pPr>
    </w:p>
    <w:p>
      <w:pPr>
        <w:ind w:left="320" w:right="3699"/>
        <w:spacing w:after="0" w:line="45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I.R.S. IDENTIFICATION NO. OF ABOVE PERSONS (ENTITIES ONLY) Van Berkom &amp; Associates Inc.</w:t>
      </w:r>
    </w:p>
    <w:p>
      <w:pPr>
        <w:spacing w:after="0" w:line="1" w:lineRule="exact"/>
        <w:rPr>
          <w:rFonts w:ascii="Courier New" w:cs="Courier New" w:eastAsia="Courier New" w:hAnsi="Courier New"/>
          <w:sz w:val="18"/>
          <w:szCs w:val="18"/>
          <w:color w:val="auto"/>
        </w:rPr>
      </w:pPr>
    </w:p>
    <w:p>
      <w:pPr>
        <w:ind w:left="320" w:hanging="312"/>
        <w:spacing w:after="0"/>
        <w:tabs>
          <w:tab w:leader="none" w:pos="320"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spacing w:after="0" w:line="29" w:lineRule="exact"/>
        <w:rPr>
          <w:sz w:val="20"/>
          <w:szCs w:val="20"/>
          <w:color w:val="auto"/>
        </w:rPr>
      </w:pPr>
    </w:p>
    <w:p>
      <w:pPr>
        <w:ind w:left="6860"/>
        <w:spacing w:after="0"/>
        <w:rPr>
          <w:sz w:val="20"/>
          <w:szCs w:val="20"/>
          <w:color w:val="auto"/>
        </w:rPr>
      </w:pPr>
      <w:r>
        <w:rPr>
          <w:rFonts w:ascii="Courier New" w:cs="Courier New" w:eastAsia="Courier New" w:hAnsi="Courier New"/>
          <w:sz w:val="18"/>
          <w:szCs w:val="18"/>
          <w:color w:val="auto"/>
        </w:rPr>
        <w:t>(a) [_]</w:t>
      </w:r>
    </w:p>
    <w:p>
      <w:pPr>
        <w:ind w:left="6860"/>
        <w:spacing w:after="0"/>
        <w:rPr>
          <w:sz w:val="20"/>
          <w:szCs w:val="20"/>
          <w:color w:val="auto"/>
        </w:rPr>
      </w:pPr>
      <w:r>
        <w:rPr>
          <w:rFonts w:ascii="Courier New" w:cs="Courier New" w:eastAsia="Courier New" w:hAnsi="Courier New"/>
          <w:sz w:val="18"/>
          <w:szCs w:val="18"/>
          <w:color w:val="auto"/>
        </w:rPr>
        <w:t>(b) [_]</w:t>
      </w:r>
    </w:p>
    <w:p>
      <w:pPr>
        <w:spacing w:after="0" w:line="169" w:lineRule="exact"/>
        <w:rPr>
          <w:sz w:val="20"/>
          <w:szCs w:val="20"/>
          <w:color w:val="auto"/>
        </w:rPr>
      </w:pPr>
    </w:p>
    <w:p>
      <w:pPr>
        <w:ind w:left="320" w:hanging="312"/>
        <w:spacing w:after="0"/>
        <w:tabs>
          <w:tab w:leader="none" w:pos="320"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0" w:lineRule="exact"/>
        <w:rPr>
          <w:rFonts w:ascii="Courier New" w:cs="Courier New" w:eastAsia="Courier New" w:hAnsi="Courier New"/>
          <w:sz w:val="18"/>
          <w:szCs w:val="18"/>
          <w:color w:val="auto"/>
        </w:rPr>
      </w:pPr>
    </w:p>
    <w:p>
      <w:pPr>
        <w:spacing w:after="0" w:line="203" w:lineRule="exact"/>
        <w:rPr>
          <w:rFonts w:ascii="Courier New" w:cs="Courier New" w:eastAsia="Courier New" w:hAnsi="Courier New"/>
          <w:sz w:val="18"/>
          <w:szCs w:val="18"/>
          <w:color w:val="auto"/>
        </w:rPr>
      </w:pPr>
    </w:p>
    <w:p>
      <w:pPr>
        <w:ind w:left="320" w:right="6019" w:hanging="312"/>
        <w:spacing w:after="0" w:line="476" w:lineRule="auto"/>
        <w:tabs>
          <w:tab w:leader="none" w:pos="320"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 Canada</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NUMBER OF SHARES BENEFICIALLY OWNED BY EACH REPORTING PERSON WITH</w:t>
      </w:r>
    </w:p>
    <w:p>
      <w:pPr>
        <w:spacing w:after="0" w:line="201" w:lineRule="exact"/>
        <w:rPr>
          <w:sz w:val="20"/>
          <w:szCs w:val="20"/>
          <w:color w:val="auto"/>
        </w:rPr>
      </w:pPr>
    </w:p>
    <w:p>
      <w:pPr>
        <w:ind w:left="320" w:right="8019" w:hanging="312"/>
        <w:spacing w:after="0" w:line="536" w:lineRule="auto"/>
        <w:tabs>
          <w:tab w:leader="none" w:pos="320" w:val="left"/>
        </w:tabs>
        <w:numPr>
          <w:ilvl w:val="0"/>
          <w:numId w:val="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SOLE VOTING POWER 3,112,812.00</w:t>
      </w:r>
    </w:p>
    <w:p>
      <w:pPr>
        <w:ind w:left="320" w:right="7819" w:hanging="312"/>
        <w:spacing w:after="0" w:line="476" w:lineRule="auto"/>
        <w:tabs>
          <w:tab w:leader="none" w:pos="320" w:val="left"/>
        </w:tabs>
        <w:numPr>
          <w:ilvl w:val="0"/>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VOTING POWER 0</w:t>
      </w:r>
    </w:p>
    <w:p>
      <w:pPr>
        <w:spacing w:after="0" w:line="1" w:lineRule="exact"/>
        <w:rPr>
          <w:rFonts w:ascii="Courier New" w:cs="Courier New" w:eastAsia="Courier New" w:hAnsi="Courier New"/>
          <w:sz w:val="18"/>
          <w:szCs w:val="18"/>
          <w:color w:val="auto"/>
        </w:rPr>
      </w:pPr>
    </w:p>
    <w:p>
      <w:pPr>
        <w:ind w:left="320" w:right="7499" w:hanging="312"/>
        <w:spacing w:after="0" w:line="476" w:lineRule="auto"/>
        <w:tabs>
          <w:tab w:leader="none" w:pos="320" w:val="left"/>
        </w:tabs>
        <w:numPr>
          <w:ilvl w:val="0"/>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DISPOSITIVE POWER 3,112,812.00</w:t>
      </w:r>
    </w:p>
    <w:p>
      <w:pPr>
        <w:spacing w:after="0" w:line="1" w:lineRule="exact"/>
        <w:rPr>
          <w:rFonts w:ascii="Courier New" w:cs="Courier New" w:eastAsia="Courier New" w:hAnsi="Courier New"/>
          <w:sz w:val="18"/>
          <w:szCs w:val="18"/>
          <w:color w:val="auto"/>
        </w:rPr>
      </w:pPr>
    </w:p>
    <w:p>
      <w:pPr>
        <w:ind w:left="320" w:right="7279" w:hanging="312"/>
        <w:spacing w:after="0" w:line="476" w:lineRule="auto"/>
        <w:tabs>
          <w:tab w:leader="none" w:pos="320" w:val="left"/>
        </w:tabs>
        <w:numPr>
          <w:ilvl w:val="0"/>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 0</w:t>
      </w:r>
    </w:p>
    <w:p>
      <w:pPr>
        <w:spacing w:after="0" w:line="1" w:lineRule="exact"/>
        <w:rPr>
          <w:rFonts w:ascii="Courier New" w:cs="Courier New" w:eastAsia="Courier New" w:hAnsi="Courier New"/>
          <w:sz w:val="18"/>
          <w:szCs w:val="18"/>
          <w:color w:val="auto"/>
        </w:rPr>
      </w:pPr>
    </w:p>
    <w:p>
      <w:pPr>
        <w:ind w:left="320" w:right="3499" w:hanging="312"/>
        <w:spacing w:after="0" w:line="476" w:lineRule="auto"/>
        <w:tabs>
          <w:tab w:leader="none" w:pos="320" w:val="left"/>
        </w:tabs>
        <w:numPr>
          <w:ilvl w:val="0"/>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3,112,812.00</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10.CHECK BOX IF THE AGGREGATE AMOUNT IN ROW (9) EXCLUDES CERTAIN SHARES*</w:t>
      </w:r>
    </w:p>
    <w:p>
      <w:pPr>
        <w:spacing w:after="0" w:line="201" w:lineRule="exact"/>
        <w:rPr>
          <w:sz w:val="20"/>
          <w:szCs w:val="20"/>
          <w:color w:val="auto"/>
        </w:rPr>
      </w:pPr>
    </w:p>
    <w:p>
      <w:pPr>
        <w:jc w:val="right"/>
        <w:ind w:right="2019"/>
        <w:spacing w:after="0"/>
        <w:rPr>
          <w:sz w:val="20"/>
          <w:szCs w:val="20"/>
          <w:color w:val="auto"/>
        </w:rPr>
      </w:pPr>
      <w:r>
        <w:rPr>
          <w:rFonts w:ascii="Courier New" w:cs="Courier New" w:eastAsia="Courier New" w:hAnsi="Courier New"/>
          <w:sz w:val="18"/>
          <w:szCs w:val="18"/>
          <w:color w:val="auto"/>
        </w:rPr>
        <w:t>[_]</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11.PERCENT OF CLASS REPRESENTED BY AMOUNT IN ROW 9</w:t>
      </w:r>
    </w:p>
    <w:p>
      <w:pPr>
        <w:spacing w:after="0" w:line="201"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9.01%</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12.TYPE OF REPORTING PERSON*</w:t>
      </w:r>
    </w:p>
    <w:p>
      <w:pPr>
        <w:spacing w:after="0" w:line="201"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IA</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ectPr>
          <w:pgSz w:w="11900" w:h="16838" w:orient="portrait"/>
          <w:cols w:equalWidth="0" w:num="1">
            <w:col w:w="10139"/>
          </w:cols>
          <w:pgMar w:left="320" w:top="893" w:right="1440" w:bottom="1440" w:gutter="0" w:footer="0" w:header="0"/>
        </w:sectPr>
      </w:pPr>
    </w:p>
    <w:bookmarkStart w:id="8" w:name="page9"/>
    <w:bookmarkEnd w:id="8"/>
    <w:p>
      <w:pPr>
        <w:spacing w:after="0" w:line="5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CUSIP No.</w:t>
      </w:r>
      <w:r>
        <w:rPr>
          <w:sz w:val="20"/>
          <w:szCs w:val="20"/>
          <w:color w:val="auto"/>
        </w:rPr>
        <w:tab/>
      </w:r>
      <w:r>
        <w:rPr>
          <w:rFonts w:ascii="Courier New" w:cs="Courier New" w:eastAsia="Courier New" w:hAnsi="Courier New"/>
          <w:sz w:val="16"/>
          <w:szCs w:val="16"/>
          <w:color w:val="auto"/>
        </w:rPr>
        <w:t>70805E109</w:t>
      </w:r>
    </w:p>
    <w:p>
      <w:pPr>
        <w:spacing w:after="0" w:line="31" w:lineRule="exact"/>
        <w:rPr>
          <w:sz w:val="20"/>
          <w:szCs w:val="20"/>
          <w:color w:val="auto"/>
        </w:rPr>
      </w:pPr>
    </w:p>
    <w:p>
      <w:pPr>
        <w:ind w:left="1280"/>
        <w:spacing w:after="0"/>
        <w:rPr>
          <w:sz w:val="20"/>
          <w:szCs w:val="20"/>
          <w:color w:val="auto"/>
        </w:rPr>
      </w:pPr>
      <w:r>
        <w:rPr>
          <w:rFonts w:ascii="Courier New" w:cs="Courier New" w:eastAsia="Courier New" w:hAnsi="Courier New"/>
          <w:sz w:val="18"/>
          <w:szCs w:val="18"/>
          <w:color w:val="auto"/>
        </w:rPr>
        <w:t>---------------------</w:t>
      </w:r>
    </w:p>
    <w:p>
      <w:pPr>
        <w:spacing w:after="0" w:line="372"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Item 1(a).</w:t>
      </w:r>
      <w:r>
        <w:rPr>
          <w:sz w:val="20"/>
          <w:szCs w:val="20"/>
          <w:color w:val="auto"/>
        </w:rPr>
        <w:tab/>
      </w:r>
      <w:r>
        <w:rPr>
          <w:rFonts w:ascii="Courier New" w:cs="Courier New" w:eastAsia="Courier New" w:hAnsi="Courier New"/>
          <w:sz w:val="16"/>
          <w:szCs w:val="16"/>
          <w:color w:val="auto"/>
        </w:rPr>
        <w:t>Name of Issuer:</w:t>
      </w:r>
    </w:p>
    <w:p>
      <w:pPr>
        <w:spacing w:after="0" w:line="200" w:lineRule="exact"/>
        <w:rPr>
          <w:sz w:val="20"/>
          <w:szCs w:val="20"/>
          <w:color w:val="auto"/>
        </w:rPr>
      </w:pPr>
    </w:p>
    <w:p>
      <w:pPr>
        <w:spacing w:after="0" w:line="204" w:lineRule="exact"/>
        <w:rPr>
          <w:sz w:val="20"/>
          <w:szCs w:val="20"/>
          <w:color w:val="auto"/>
        </w:rPr>
      </w:pPr>
    </w:p>
    <w:p>
      <w:pPr>
        <w:ind w:left="1280"/>
        <w:spacing w:after="0"/>
        <w:rPr>
          <w:sz w:val="20"/>
          <w:szCs w:val="20"/>
          <w:color w:val="auto"/>
        </w:rPr>
      </w:pPr>
      <w:r>
        <w:rPr>
          <w:rFonts w:ascii="Courier New" w:cs="Courier New" w:eastAsia="Courier New" w:hAnsi="Courier New"/>
          <w:sz w:val="18"/>
          <w:szCs w:val="18"/>
          <w:color w:val="auto"/>
        </w:rPr>
        <w:t>Pennant Group Inc. (PNTG)</w:t>
      </w:r>
    </w:p>
    <w:p>
      <w:pPr>
        <w:spacing w:after="0" w:line="31" w:lineRule="exact"/>
        <w:rPr>
          <w:sz w:val="20"/>
          <w:szCs w:val="20"/>
          <w:color w:val="auto"/>
        </w:rPr>
      </w:pPr>
    </w:p>
    <w:p>
      <w:pPr>
        <w:ind w:left="1280"/>
        <w:spacing w:after="0"/>
        <w:rPr>
          <w:sz w:val="20"/>
          <w:szCs w:val="20"/>
          <w:color w:val="auto"/>
        </w:rPr>
      </w:pPr>
      <w:r>
        <w:rPr>
          <w:rFonts w:ascii="Courier New" w:cs="Courier New" w:eastAsia="Courier New" w:hAnsi="Courier New"/>
          <w:sz w:val="16"/>
          <w:szCs w:val="16"/>
          <w:color w:val="auto"/>
        </w:rPr>
        <w:t>--------------------------------------------------------------------</w:t>
      </w:r>
    </w:p>
    <w:p>
      <w:pPr>
        <w:spacing w:after="0" w:line="192"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Item 1(b).</w:t>
      </w:r>
      <w:r>
        <w:rPr>
          <w:sz w:val="20"/>
          <w:szCs w:val="20"/>
          <w:color w:val="auto"/>
        </w:rPr>
        <w:tab/>
      </w:r>
      <w:r>
        <w:rPr>
          <w:rFonts w:ascii="Courier New" w:cs="Courier New" w:eastAsia="Courier New" w:hAnsi="Courier New"/>
          <w:sz w:val="16"/>
          <w:szCs w:val="16"/>
          <w:color w:val="auto"/>
        </w:rPr>
        <w:t>Address of Issuer's Principal Executive Offices:</w:t>
      </w:r>
    </w:p>
    <w:p>
      <w:pPr>
        <w:spacing w:after="0" w:line="201" w:lineRule="exact"/>
        <w:rPr>
          <w:sz w:val="20"/>
          <w:szCs w:val="20"/>
          <w:color w:val="auto"/>
        </w:rPr>
      </w:pPr>
    </w:p>
    <w:p>
      <w:pPr>
        <w:ind w:left="1280"/>
        <w:spacing w:after="0"/>
        <w:rPr>
          <w:sz w:val="20"/>
          <w:szCs w:val="20"/>
          <w:color w:val="auto"/>
        </w:rPr>
      </w:pPr>
      <w:r>
        <w:rPr>
          <w:rFonts w:ascii="Courier New" w:cs="Courier New" w:eastAsia="Courier New" w:hAnsi="Courier New"/>
          <w:sz w:val="18"/>
          <w:szCs w:val="18"/>
          <w:color w:val="auto"/>
        </w:rPr>
        <w:t>1675 East Riverside Drive, Suite 150, Eagle, Idaho 83616</w:t>
      </w:r>
    </w:p>
    <w:p>
      <w:pPr>
        <w:spacing w:after="0" w:line="31" w:lineRule="exact"/>
        <w:rPr>
          <w:sz w:val="20"/>
          <w:szCs w:val="20"/>
          <w:color w:val="auto"/>
        </w:rPr>
      </w:pPr>
    </w:p>
    <w:p>
      <w:pPr>
        <w:ind w:left="1280"/>
        <w:spacing w:after="0"/>
        <w:rPr>
          <w:sz w:val="20"/>
          <w:szCs w:val="20"/>
          <w:color w:val="auto"/>
        </w:rPr>
      </w:pPr>
      <w:r>
        <w:rPr>
          <w:rFonts w:ascii="Courier New" w:cs="Courier New" w:eastAsia="Courier New" w:hAnsi="Courier New"/>
          <w:sz w:val="16"/>
          <w:szCs w:val="16"/>
          <w:color w:val="auto"/>
        </w:rPr>
        <w:t>--------------------------------------------------------------------</w:t>
      </w:r>
    </w:p>
    <w:p>
      <w:pPr>
        <w:spacing w:after="0" w:line="394"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Item 2(a).</w:t>
      </w:r>
      <w:r>
        <w:rPr>
          <w:sz w:val="20"/>
          <w:szCs w:val="20"/>
          <w:color w:val="auto"/>
        </w:rPr>
        <w:tab/>
      </w:r>
      <w:r>
        <w:rPr>
          <w:rFonts w:ascii="Courier New" w:cs="Courier New" w:eastAsia="Courier New" w:hAnsi="Courier New"/>
          <w:sz w:val="16"/>
          <w:szCs w:val="16"/>
          <w:color w:val="auto"/>
        </w:rPr>
        <w:t>Name of Person Filing:</w:t>
      </w:r>
    </w:p>
    <w:p>
      <w:pPr>
        <w:spacing w:after="0" w:line="201" w:lineRule="exact"/>
        <w:rPr>
          <w:sz w:val="20"/>
          <w:szCs w:val="20"/>
          <w:color w:val="auto"/>
        </w:rPr>
      </w:pPr>
    </w:p>
    <w:p>
      <w:pPr>
        <w:ind w:left="1280" w:right="1919"/>
        <w:spacing w:after="0" w:line="346" w:lineRule="auto"/>
        <w:rPr>
          <w:sz w:val="20"/>
          <w:szCs w:val="20"/>
          <w:color w:val="auto"/>
        </w:rPr>
      </w:pPr>
      <w:r>
        <w:rPr>
          <w:rFonts w:ascii="Courier New" w:cs="Courier New" w:eastAsia="Courier New" w:hAnsi="Courier New"/>
          <w:sz w:val="18"/>
          <w:szCs w:val="18"/>
          <w:color w:val="auto"/>
        </w:rPr>
        <w:t>This statement is being filed by Van Berkom &amp; Associates Inc. (the "Reporting Person"), a Canadian company.</w:t>
      </w:r>
    </w:p>
    <w:p>
      <w:pPr>
        <w:spacing w:after="0" w:line="222" w:lineRule="exact"/>
        <w:rPr>
          <w:sz w:val="20"/>
          <w:szCs w:val="20"/>
          <w:color w:val="auto"/>
        </w:rPr>
      </w:pPr>
    </w:p>
    <w:p>
      <w:pPr>
        <w:ind w:left="1280"/>
        <w:spacing w:after="0"/>
        <w:rPr>
          <w:sz w:val="20"/>
          <w:szCs w:val="20"/>
          <w:color w:val="auto"/>
        </w:rPr>
      </w:pPr>
      <w:r>
        <w:rPr>
          <w:rFonts w:ascii="Courier New" w:cs="Courier New" w:eastAsia="Courier New" w:hAnsi="Courier New"/>
          <w:sz w:val="16"/>
          <w:szCs w:val="16"/>
          <w:color w:val="auto"/>
        </w:rPr>
        <w:t>--------------------------------------------------------------------</w:t>
      </w:r>
    </w:p>
    <w:p>
      <w:pPr>
        <w:spacing w:after="0" w:line="224"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Item 2(b).</w:t>
      </w:r>
      <w:r>
        <w:rPr>
          <w:sz w:val="20"/>
          <w:szCs w:val="20"/>
          <w:color w:val="auto"/>
        </w:rPr>
        <w:tab/>
      </w:r>
      <w:r>
        <w:rPr>
          <w:rFonts w:ascii="Courier New" w:cs="Courier New" w:eastAsia="Courier New" w:hAnsi="Courier New"/>
          <w:sz w:val="16"/>
          <w:szCs w:val="16"/>
          <w:color w:val="auto"/>
        </w:rPr>
        <w:t>Address of Principal Business Office, or if None, Residence:</w:t>
      </w:r>
    </w:p>
    <w:p>
      <w:pPr>
        <w:spacing w:after="0" w:line="201" w:lineRule="exact"/>
        <w:rPr>
          <w:sz w:val="20"/>
          <w:szCs w:val="20"/>
          <w:color w:val="auto"/>
        </w:rPr>
      </w:pPr>
    </w:p>
    <w:p>
      <w:pPr>
        <w:ind w:left="1280"/>
        <w:spacing w:after="0"/>
        <w:rPr>
          <w:sz w:val="20"/>
          <w:szCs w:val="20"/>
          <w:color w:val="auto"/>
        </w:rPr>
      </w:pPr>
      <w:r>
        <w:rPr>
          <w:rFonts w:ascii="Courier New" w:cs="Courier New" w:eastAsia="Courier New" w:hAnsi="Courier New"/>
          <w:sz w:val="18"/>
          <w:szCs w:val="18"/>
          <w:color w:val="auto"/>
        </w:rPr>
        <w:t>600 de Maisonneuve Blvd West, Suite 2510, Montreal, Quebec H3A 3J2</w:t>
      </w:r>
    </w:p>
    <w:p>
      <w:pPr>
        <w:spacing w:after="0" w:line="31" w:lineRule="exact"/>
        <w:rPr>
          <w:sz w:val="20"/>
          <w:szCs w:val="20"/>
          <w:color w:val="auto"/>
        </w:rPr>
      </w:pPr>
    </w:p>
    <w:p>
      <w:pPr>
        <w:ind w:left="1280"/>
        <w:spacing w:after="0"/>
        <w:rPr>
          <w:sz w:val="20"/>
          <w:szCs w:val="20"/>
          <w:color w:val="auto"/>
        </w:rPr>
      </w:pPr>
      <w:r>
        <w:rPr>
          <w:rFonts w:ascii="Courier New" w:cs="Courier New" w:eastAsia="Courier New" w:hAnsi="Courier New"/>
          <w:sz w:val="16"/>
          <w:szCs w:val="16"/>
          <w:color w:val="auto"/>
        </w:rPr>
        <w:t>--------------------------------------------------------------------</w:t>
      </w:r>
    </w:p>
    <w:p>
      <w:pPr>
        <w:spacing w:after="0" w:line="192"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Item 2(c).</w:t>
      </w:r>
      <w:r>
        <w:rPr>
          <w:sz w:val="20"/>
          <w:szCs w:val="20"/>
          <w:color w:val="auto"/>
        </w:rPr>
        <w:tab/>
      </w:r>
      <w:r>
        <w:rPr>
          <w:rFonts w:ascii="Courier New" w:cs="Courier New" w:eastAsia="Courier New" w:hAnsi="Courier New"/>
          <w:sz w:val="16"/>
          <w:szCs w:val="16"/>
          <w:color w:val="auto"/>
        </w:rPr>
        <w:t>Citizenship:</w:t>
      </w:r>
    </w:p>
    <w:p>
      <w:pPr>
        <w:spacing w:after="0" w:line="201" w:lineRule="exact"/>
        <w:rPr>
          <w:sz w:val="20"/>
          <w:szCs w:val="20"/>
          <w:color w:val="auto"/>
        </w:rPr>
      </w:pPr>
    </w:p>
    <w:p>
      <w:pPr>
        <w:ind w:left="1280"/>
        <w:spacing w:after="0"/>
        <w:rPr>
          <w:sz w:val="20"/>
          <w:szCs w:val="20"/>
          <w:color w:val="auto"/>
        </w:rPr>
      </w:pPr>
      <w:r>
        <w:rPr>
          <w:rFonts w:ascii="Courier New" w:cs="Courier New" w:eastAsia="Courier New" w:hAnsi="Courier New"/>
          <w:sz w:val="18"/>
          <w:szCs w:val="18"/>
          <w:color w:val="auto"/>
        </w:rPr>
        <w:t>Canada</w:t>
      </w:r>
    </w:p>
    <w:p>
      <w:pPr>
        <w:spacing w:after="0" w:line="31" w:lineRule="exact"/>
        <w:rPr>
          <w:sz w:val="20"/>
          <w:szCs w:val="20"/>
          <w:color w:val="auto"/>
        </w:rPr>
      </w:pPr>
    </w:p>
    <w:p>
      <w:pPr>
        <w:ind w:left="1280"/>
        <w:spacing w:after="0"/>
        <w:rPr>
          <w:sz w:val="20"/>
          <w:szCs w:val="20"/>
          <w:color w:val="auto"/>
        </w:rPr>
      </w:pPr>
      <w:r>
        <w:rPr>
          <w:rFonts w:ascii="Courier New" w:cs="Courier New" w:eastAsia="Courier New" w:hAnsi="Courier New"/>
          <w:sz w:val="16"/>
          <w:szCs w:val="16"/>
          <w:color w:val="auto"/>
        </w:rPr>
        <w:t>--------------------------------------------------------------------</w:t>
      </w:r>
    </w:p>
    <w:p>
      <w:pPr>
        <w:spacing w:after="0" w:line="192"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Item 2(d).</w:t>
      </w:r>
      <w:r>
        <w:rPr>
          <w:sz w:val="20"/>
          <w:szCs w:val="20"/>
          <w:color w:val="auto"/>
        </w:rPr>
        <w:tab/>
      </w:r>
      <w:r>
        <w:rPr>
          <w:rFonts w:ascii="Courier New" w:cs="Courier New" w:eastAsia="Courier New" w:hAnsi="Courier New"/>
          <w:sz w:val="16"/>
          <w:szCs w:val="16"/>
          <w:color w:val="auto"/>
        </w:rPr>
        <w:t>Title of Class of Securities:</w:t>
      </w:r>
    </w:p>
    <w:p>
      <w:pPr>
        <w:spacing w:after="0" w:line="201" w:lineRule="exact"/>
        <w:rPr>
          <w:sz w:val="20"/>
          <w:szCs w:val="20"/>
          <w:color w:val="auto"/>
        </w:rPr>
      </w:pPr>
    </w:p>
    <w:p>
      <w:pPr>
        <w:ind w:left="1280"/>
        <w:spacing w:after="0"/>
        <w:rPr>
          <w:sz w:val="20"/>
          <w:szCs w:val="20"/>
          <w:color w:val="auto"/>
        </w:rPr>
      </w:pPr>
      <w:r>
        <w:rPr>
          <w:rFonts w:ascii="Courier New" w:cs="Courier New" w:eastAsia="Courier New" w:hAnsi="Courier New"/>
          <w:sz w:val="18"/>
          <w:szCs w:val="18"/>
          <w:color w:val="auto"/>
        </w:rPr>
        <w:t>Common Stock</w:t>
      </w:r>
    </w:p>
    <w:p>
      <w:pPr>
        <w:spacing w:after="0" w:line="31" w:lineRule="exact"/>
        <w:rPr>
          <w:sz w:val="20"/>
          <w:szCs w:val="20"/>
          <w:color w:val="auto"/>
        </w:rPr>
      </w:pPr>
    </w:p>
    <w:p>
      <w:pPr>
        <w:ind w:left="1280"/>
        <w:spacing w:after="0"/>
        <w:rPr>
          <w:sz w:val="20"/>
          <w:szCs w:val="20"/>
          <w:color w:val="auto"/>
        </w:rPr>
      </w:pPr>
      <w:r>
        <w:rPr>
          <w:rFonts w:ascii="Courier New" w:cs="Courier New" w:eastAsia="Courier New" w:hAnsi="Courier New"/>
          <w:sz w:val="16"/>
          <w:szCs w:val="16"/>
          <w:color w:val="auto"/>
        </w:rPr>
        <w:t>--------------------------------------------------------------------</w:t>
      </w:r>
    </w:p>
    <w:p>
      <w:pPr>
        <w:spacing w:after="0" w:line="192"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Item 2(e).</w:t>
      </w:r>
      <w:r>
        <w:rPr>
          <w:sz w:val="20"/>
          <w:szCs w:val="20"/>
          <w:color w:val="auto"/>
        </w:rPr>
        <w:tab/>
      </w:r>
      <w:r>
        <w:rPr>
          <w:rFonts w:ascii="Courier New" w:cs="Courier New" w:eastAsia="Courier New" w:hAnsi="Courier New"/>
          <w:sz w:val="16"/>
          <w:szCs w:val="16"/>
          <w:color w:val="auto"/>
        </w:rPr>
        <w:t>CUSIP Number:</w:t>
      </w:r>
    </w:p>
    <w:p>
      <w:pPr>
        <w:spacing w:after="0" w:line="200" w:lineRule="exact"/>
        <w:rPr>
          <w:sz w:val="20"/>
          <w:szCs w:val="20"/>
          <w:color w:val="auto"/>
        </w:rPr>
      </w:pPr>
    </w:p>
    <w:p>
      <w:pPr>
        <w:spacing w:after="0" w:line="204" w:lineRule="exact"/>
        <w:rPr>
          <w:sz w:val="20"/>
          <w:szCs w:val="20"/>
          <w:color w:val="auto"/>
        </w:rPr>
      </w:pPr>
    </w:p>
    <w:p>
      <w:pPr>
        <w:ind w:left="1280"/>
        <w:spacing w:after="0"/>
        <w:rPr>
          <w:sz w:val="20"/>
          <w:szCs w:val="20"/>
          <w:color w:val="auto"/>
        </w:rPr>
      </w:pPr>
      <w:r>
        <w:rPr>
          <w:rFonts w:ascii="Courier New" w:cs="Courier New" w:eastAsia="Courier New" w:hAnsi="Courier New"/>
          <w:sz w:val="18"/>
          <w:szCs w:val="18"/>
          <w:color w:val="auto"/>
        </w:rPr>
        <w:t>70805E109</w:t>
      </w:r>
    </w:p>
    <w:p>
      <w:pPr>
        <w:spacing w:after="0" w:line="31" w:lineRule="exact"/>
        <w:rPr>
          <w:sz w:val="20"/>
          <w:szCs w:val="20"/>
          <w:color w:val="auto"/>
        </w:rPr>
      </w:pPr>
    </w:p>
    <w:p>
      <w:pPr>
        <w:ind w:left="1280"/>
        <w:spacing w:after="0"/>
        <w:rPr>
          <w:sz w:val="20"/>
          <w:szCs w:val="20"/>
          <w:color w:val="auto"/>
        </w:rPr>
      </w:pPr>
      <w:r>
        <w:rPr>
          <w:rFonts w:ascii="Courier New" w:cs="Courier New" w:eastAsia="Courier New" w:hAnsi="Courier New"/>
          <w:sz w:val="16"/>
          <w:szCs w:val="16"/>
          <w:color w:val="auto"/>
        </w:rPr>
        <w:t>--------------------------------------------------------------------</w:t>
      </w:r>
    </w:p>
    <w:p>
      <w:pPr>
        <w:spacing w:after="0" w:line="394"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Item 3.</w:t>
      </w:r>
      <w:r>
        <w:rPr>
          <w:sz w:val="20"/>
          <w:szCs w:val="20"/>
          <w:color w:val="auto"/>
        </w:rPr>
        <w:tab/>
      </w:r>
      <w:r>
        <w:rPr>
          <w:rFonts w:ascii="Courier New" w:cs="Courier New" w:eastAsia="Courier New" w:hAnsi="Courier New"/>
          <w:sz w:val="16"/>
          <w:szCs w:val="16"/>
          <w:color w:val="auto"/>
        </w:rPr>
        <w:t>If This Statement is Filed Pursuant to Rule 13d-1(b), or 13d-2(b)</w:t>
      </w:r>
    </w:p>
    <w:p>
      <w:pPr>
        <w:spacing w:after="0" w:line="31"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or (c), Check Whether the Person Filing is a:</w:t>
      </w:r>
    </w:p>
    <w:p>
      <w:pPr>
        <w:spacing w:after="0" w:line="169" w:lineRule="exact"/>
        <w:rPr>
          <w:sz w:val="20"/>
          <w:szCs w:val="20"/>
          <w:color w:val="auto"/>
        </w:rPr>
      </w:pPr>
    </w:p>
    <w:p>
      <w:pPr>
        <w:ind w:left="1060" w:hanging="526"/>
        <w:spacing w:after="0"/>
        <w:tabs>
          <w:tab w:leader="none" w:pos="1060" w:val="left"/>
        </w:tabs>
        <w:numPr>
          <w:ilvl w:val="0"/>
          <w:numId w:val="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[_] Broker or dealer registered under Section 15 of the Exchange Act.</w:t>
      </w:r>
    </w:p>
    <w:p>
      <w:pPr>
        <w:spacing w:after="0" w:line="223" w:lineRule="exact"/>
        <w:rPr>
          <w:rFonts w:ascii="Courier New" w:cs="Courier New" w:eastAsia="Courier New" w:hAnsi="Courier New"/>
          <w:sz w:val="16"/>
          <w:szCs w:val="16"/>
          <w:color w:val="auto"/>
        </w:rPr>
      </w:pPr>
    </w:p>
    <w:p>
      <w:pPr>
        <w:ind w:left="1060" w:hanging="526"/>
        <w:spacing w:after="0"/>
        <w:tabs>
          <w:tab w:leader="none" w:pos="1060" w:val="left"/>
        </w:tabs>
        <w:numPr>
          <w:ilvl w:val="0"/>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[_] Bank as defined in Section 3(a)(6) of the Exchange Act.</w:t>
      </w:r>
    </w:p>
    <w:p>
      <w:pPr>
        <w:spacing w:after="0" w:line="201" w:lineRule="exact"/>
        <w:rPr>
          <w:rFonts w:ascii="Courier New" w:cs="Courier New" w:eastAsia="Courier New" w:hAnsi="Courier New"/>
          <w:sz w:val="18"/>
          <w:szCs w:val="18"/>
          <w:color w:val="auto"/>
        </w:rPr>
      </w:pPr>
    </w:p>
    <w:p>
      <w:pPr>
        <w:ind w:left="1580" w:right="1699" w:hanging="1046"/>
        <w:spacing w:after="0" w:line="346" w:lineRule="auto"/>
        <w:tabs>
          <w:tab w:leader="none" w:pos="1054" w:val="left"/>
        </w:tabs>
        <w:numPr>
          <w:ilvl w:val="0"/>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[_] Insurance company as defined in Section 3(a)(19) of the Exchange Act.</w:t>
      </w:r>
    </w:p>
    <w:p>
      <w:pPr>
        <w:spacing w:after="0" w:line="19" w:lineRule="exact"/>
        <w:rPr>
          <w:rFonts w:ascii="Courier New" w:cs="Courier New" w:eastAsia="Courier New" w:hAnsi="Courier New"/>
          <w:sz w:val="18"/>
          <w:szCs w:val="18"/>
          <w:color w:val="auto"/>
        </w:rPr>
      </w:pPr>
    </w:p>
    <w:p>
      <w:pPr>
        <w:ind w:left="1580" w:right="1699" w:hanging="1046"/>
        <w:spacing w:after="0" w:line="346" w:lineRule="auto"/>
        <w:tabs>
          <w:tab w:leader="none" w:pos="1054" w:val="left"/>
        </w:tabs>
        <w:numPr>
          <w:ilvl w:val="0"/>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[_] Investment company registered under Section 8 of the Investment Company Act.</w:t>
      </w:r>
    </w:p>
    <w:p>
      <w:pPr>
        <w:spacing w:after="0" w:line="19" w:lineRule="exact"/>
        <w:rPr>
          <w:rFonts w:ascii="Courier New" w:cs="Courier New" w:eastAsia="Courier New" w:hAnsi="Courier New"/>
          <w:sz w:val="18"/>
          <w:szCs w:val="18"/>
          <w:color w:val="auto"/>
        </w:rPr>
      </w:pPr>
    </w:p>
    <w:p>
      <w:pPr>
        <w:ind w:left="1060" w:hanging="526"/>
        <w:spacing w:after="0"/>
        <w:tabs>
          <w:tab w:leader="none" w:pos="1060" w:val="left"/>
        </w:tabs>
        <w:numPr>
          <w:ilvl w:val="0"/>
          <w:numId w:val="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[X] An investment adviser in accordance with Rule 13d-1(b)(1)(ii)(E);</w:t>
      </w:r>
    </w:p>
    <w:p>
      <w:pPr>
        <w:spacing w:after="0" w:line="223" w:lineRule="exact"/>
        <w:rPr>
          <w:rFonts w:ascii="Courier New" w:cs="Courier New" w:eastAsia="Courier New" w:hAnsi="Courier New"/>
          <w:sz w:val="16"/>
          <w:szCs w:val="16"/>
          <w:color w:val="auto"/>
        </w:rPr>
      </w:pPr>
    </w:p>
    <w:p>
      <w:pPr>
        <w:ind w:left="1580" w:right="1699" w:hanging="1046"/>
        <w:spacing w:after="0" w:line="346" w:lineRule="auto"/>
        <w:tabs>
          <w:tab w:leader="none" w:pos="1054" w:val="left"/>
        </w:tabs>
        <w:numPr>
          <w:ilvl w:val="0"/>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[_] An employee benefit plan or endowment fund in accordance with Rule 13d-1(b)(1)(ii)(F);</w:t>
      </w:r>
    </w:p>
    <w:p>
      <w:pPr>
        <w:spacing w:after="0" w:line="19" w:lineRule="exact"/>
        <w:rPr>
          <w:rFonts w:ascii="Courier New" w:cs="Courier New" w:eastAsia="Courier New" w:hAnsi="Courier New"/>
          <w:sz w:val="18"/>
          <w:szCs w:val="18"/>
          <w:color w:val="auto"/>
        </w:rPr>
      </w:pPr>
    </w:p>
    <w:p>
      <w:pPr>
        <w:ind w:left="1580" w:right="1699" w:hanging="1046"/>
        <w:spacing w:after="0" w:line="346" w:lineRule="auto"/>
        <w:tabs>
          <w:tab w:leader="none" w:pos="1054" w:val="left"/>
        </w:tabs>
        <w:numPr>
          <w:ilvl w:val="0"/>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[_] A parent holding company or control person in accordance with Rule 13d-1(b)(1)(ii)(G);</w:t>
      </w:r>
    </w:p>
    <w:p>
      <w:pPr>
        <w:spacing w:after="0" w:line="19" w:lineRule="exact"/>
        <w:rPr>
          <w:rFonts w:ascii="Courier New" w:cs="Courier New" w:eastAsia="Courier New" w:hAnsi="Courier New"/>
          <w:sz w:val="18"/>
          <w:szCs w:val="18"/>
          <w:color w:val="auto"/>
        </w:rPr>
      </w:pPr>
    </w:p>
    <w:p>
      <w:pPr>
        <w:ind w:left="1580" w:right="1699" w:hanging="1046"/>
        <w:spacing w:after="0" w:line="346" w:lineRule="auto"/>
        <w:tabs>
          <w:tab w:leader="none" w:pos="1054" w:val="left"/>
        </w:tabs>
        <w:numPr>
          <w:ilvl w:val="0"/>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[_] A savings association as defined in Section 3(b) of the Federal Deposit Insurance Act;</w:t>
      </w:r>
    </w:p>
    <w:p>
      <w:pPr>
        <w:spacing w:after="0" w:line="19" w:lineRule="exact"/>
        <w:rPr>
          <w:rFonts w:ascii="Courier New" w:cs="Courier New" w:eastAsia="Courier New" w:hAnsi="Courier New"/>
          <w:sz w:val="18"/>
          <w:szCs w:val="18"/>
          <w:color w:val="auto"/>
        </w:rPr>
      </w:pPr>
    </w:p>
    <w:p>
      <w:pPr>
        <w:ind w:left="1580" w:right="1699" w:hanging="1046"/>
        <w:spacing w:after="0" w:line="292" w:lineRule="auto"/>
        <w:tabs>
          <w:tab w:leader="none" w:pos="1054" w:val="left"/>
        </w:tabs>
        <w:numPr>
          <w:ilvl w:val="0"/>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[_] A church plan that is excluded from the definition of an investment company under Section 3(c)(14) of the Investment Company Act;</w:t>
      </w:r>
    </w:p>
    <w:p>
      <w:pPr>
        <w:spacing w:after="0" w:line="65" w:lineRule="exact"/>
        <w:rPr>
          <w:rFonts w:ascii="Courier New" w:cs="Courier New" w:eastAsia="Courier New" w:hAnsi="Courier New"/>
          <w:sz w:val="18"/>
          <w:szCs w:val="18"/>
          <w:color w:val="auto"/>
        </w:rPr>
      </w:pPr>
    </w:p>
    <w:p>
      <w:pPr>
        <w:ind w:left="1060" w:hanging="526"/>
        <w:spacing w:after="0"/>
        <w:tabs>
          <w:tab w:leader="none" w:pos="1060" w:val="left"/>
        </w:tabs>
        <w:numPr>
          <w:ilvl w:val="0"/>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[_]  Group, in accordance with Rule 13d-1(b)(1)(ii)(J).</w:t>
      </w:r>
    </w:p>
    <w:p>
      <w:pPr>
        <w:spacing w:after="0" w:line="201"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4.</w:t>
      </w:r>
      <w:r>
        <w:rPr>
          <w:sz w:val="20"/>
          <w:szCs w:val="20"/>
          <w:color w:val="auto"/>
        </w:rPr>
        <w:tab/>
      </w:r>
      <w:r>
        <w:rPr>
          <w:rFonts w:ascii="Courier New" w:cs="Courier New" w:eastAsia="Courier New" w:hAnsi="Courier New"/>
          <w:sz w:val="16"/>
          <w:szCs w:val="16"/>
          <w:color w:val="auto"/>
        </w:rPr>
        <w:t>Ownership.</w:t>
      </w:r>
    </w:p>
    <w:p>
      <w:pPr>
        <w:sectPr>
          <w:pgSz w:w="11900" w:h="16890" w:orient="portrait"/>
          <w:cols w:equalWidth="0" w:num="1">
            <w:col w:w="10139"/>
          </w:cols>
          <w:pgMar w:left="320" w:top="690" w:right="1440" w:bottom="0" w:gutter="0" w:footer="0" w:header="0"/>
        </w:sectPr>
      </w:pPr>
    </w:p>
    <w:bookmarkStart w:id="9" w:name="page10"/>
    <w:bookmarkEnd w:id="9"/>
    <w:p>
      <w:pPr>
        <w:ind w:right="1699" w:firstLine="526"/>
        <w:spacing w:after="0" w:line="346" w:lineRule="auto"/>
        <w:rPr>
          <w:sz w:val="20"/>
          <w:szCs w:val="20"/>
          <w:color w:val="auto"/>
        </w:rPr>
      </w:pPr>
      <w:r>
        <w:rPr>
          <w:rFonts w:ascii="Courier New" w:cs="Courier New" w:eastAsia="Courier New" w:hAnsi="Courier New"/>
          <w:sz w:val="18"/>
          <w:szCs w:val="18"/>
          <w:color w:val="auto"/>
        </w:rPr>
        <w:t>Provide the following information regarding the aggregate number and percentage of the class of securities of the issuer identified in Item 1.</w:t>
      </w:r>
    </w:p>
    <w:p>
      <w:pPr>
        <w:spacing w:after="0" w:line="20" w:lineRule="exact"/>
        <w:rPr>
          <w:sz w:val="20"/>
          <w:szCs w:val="20"/>
          <w:color w:val="auto"/>
        </w:rPr>
      </w:pPr>
    </w:p>
    <w:p>
      <w:pPr>
        <w:ind w:left="960" w:hanging="426"/>
        <w:spacing w:after="0"/>
        <w:tabs>
          <w:tab w:leader="none" w:pos="960" w:val="left"/>
        </w:tabs>
        <w:numPr>
          <w:ilvl w:val="0"/>
          <w:numId w:val="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Amount beneficially owned:</w:t>
      </w:r>
    </w:p>
    <w:p>
      <w:pPr>
        <w:spacing w:after="0" w:line="201" w:lineRule="exact"/>
        <w:rPr>
          <w:rFonts w:ascii="Courier New" w:cs="Courier New" w:eastAsia="Courier New" w:hAnsi="Courier New"/>
          <w:sz w:val="18"/>
          <w:szCs w:val="18"/>
          <w:color w:val="auto"/>
        </w:rPr>
      </w:pPr>
    </w:p>
    <w:p>
      <w:pPr>
        <w:ind w:left="96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See Item 9 of each cover page.</w:t>
      </w:r>
    </w:p>
    <w:p>
      <w:pPr>
        <w:spacing w:after="0" w:line="30" w:lineRule="exact"/>
        <w:rPr>
          <w:rFonts w:ascii="Courier New" w:cs="Courier New" w:eastAsia="Courier New" w:hAnsi="Courier New"/>
          <w:sz w:val="18"/>
          <w:szCs w:val="18"/>
          <w:color w:val="auto"/>
        </w:rPr>
      </w:pPr>
    </w:p>
    <w:p>
      <w:pPr>
        <w:ind w:left="960"/>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w:t>
      </w:r>
    </w:p>
    <w:p>
      <w:pPr>
        <w:spacing w:after="0" w:line="191" w:lineRule="exact"/>
        <w:rPr>
          <w:rFonts w:ascii="Courier New" w:cs="Courier New" w:eastAsia="Courier New" w:hAnsi="Courier New"/>
          <w:sz w:val="18"/>
          <w:szCs w:val="18"/>
          <w:color w:val="auto"/>
        </w:rPr>
      </w:pPr>
    </w:p>
    <w:p>
      <w:pPr>
        <w:ind w:left="960" w:hanging="426"/>
        <w:spacing w:after="0"/>
        <w:tabs>
          <w:tab w:leader="none" w:pos="960" w:val="left"/>
        </w:tabs>
        <w:numPr>
          <w:ilvl w:val="0"/>
          <w:numId w:val="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w:t>
      </w:r>
    </w:p>
    <w:p>
      <w:pPr>
        <w:spacing w:after="0" w:line="201" w:lineRule="exact"/>
        <w:rPr>
          <w:rFonts w:ascii="Courier New" w:cs="Courier New" w:eastAsia="Courier New" w:hAnsi="Courier New"/>
          <w:sz w:val="18"/>
          <w:szCs w:val="18"/>
          <w:color w:val="auto"/>
        </w:rPr>
      </w:pPr>
    </w:p>
    <w:p>
      <w:pPr>
        <w:ind w:left="96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See Item 11 of each cover page.</w:t>
      </w:r>
    </w:p>
    <w:p>
      <w:pPr>
        <w:spacing w:after="0" w:line="30" w:lineRule="exact"/>
        <w:rPr>
          <w:rFonts w:ascii="Courier New" w:cs="Courier New" w:eastAsia="Courier New" w:hAnsi="Courier New"/>
          <w:sz w:val="18"/>
          <w:szCs w:val="18"/>
          <w:color w:val="auto"/>
        </w:rPr>
      </w:pPr>
    </w:p>
    <w:p>
      <w:pPr>
        <w:ind w:left="960"/>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w:t>
      </w:r>
    </w:p>
    <w:p>
      <w:pPr>
        <w:spacing w:after="0" w:line="191" w:lineRule="exact"/>
        <w:rPr>
          <w:rFonts w:ascii="Courier New" w:cs="Courier New" w:eastAsia="Courier New" w:hAnsi="Courier New"/>
          <w:sz w:val="18"/>
          <w:szCs w:val="18"/>
          <w:color w:val="auto"/>
        </w:rPr>
      </w:pPr>
    </w:p>
    <w:p>
      <w:pPr>
        <w:ind w:left="960" w:hanging="426"/>
        <w:spacing w:after="0"/>
        <w:tabs>
          <w:tab w:leader="none" w:pos="960" w:val="left"/>
        </w:tabs>
        <w:numPr>
          <w:ilvl w:val="0"/>
          <w:numId w:val="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Number of shares as to which such person has:</w:t>
      </w:r>
    </w:p>
    <w:p>
      <w:pPr>
        <w:spacing w:after="0" w:line="200" w:lineRule="exact"/>
        <w:rPr>
          <w:rFonts w:ascii="Courier New" w:cs="Courier New" w:eastAsia="Courier New" w:hAnsi="Courier New"/>
          <w:sz w:val="18"/>
          <w:szCs w:val="18"/>
          <w:color w:val="auto"/>
        </w:rPr>
      </w:pPr>
    </w:p>
    <w:p>
      <w:pPr>
        <w:spacing w:after="0" w:line="203" w:lineRule="exact"/>
        <w:rPr>
          <w:rFonts w:ascii="Courier New" w:cs="Courier New" w:eastAsia="Courier New" w:hAnsi="Courier New"/>
          <w:sz w:val="18"/>
          <w:szCs w:val="18"/>
          <w:color w:val="auto"/>
        </w:rPr>
      </w:pPr>
    </w:p>
    <w:p>
      <w:pPr>
        <w:ind w:left="1700" w:right="4239" w:hanging="639"/>
        <w:spacing w:after="0" w:line="346" w:lineRule="auto"/>
        <w:tabs>
          <w:tab w:leader="none" w:pos="1700" w:val="left"/>
        </w:tabs>
        <w:numPr>
          <w:ilvl w:val="1"/>
          <w:numId w:val="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vote or to direct the vote See Item 5 of each cover page.</w:t>
      </w:r>
    </w:p>
    <w:p>
      <w:pPr>
        <w:spacing w:after="0" w:line="222" w:lineRule="exact"/>
        <w:rPr>
          <w:rFonts w:ascii="Courier New" w:cs="Courier New" w:eastAsia="Courier New" w:hAnsi="Courier New"/>
          <w:sz w:val="18"/>
          <w:szCs w:val="18"/>
          <w:color w:val="auto"/>
        </w:rPr>
      </w:pPr>
    </w:p>
    <w:p>
      <w:pPr>
        <w:ind w:left="1700" w:right="4019" w:hanging="639"/>
        <w:spacing w:after="0" w:line="346" w:lineRule="auto"/>
        <w:tabs>
          <w:tab w:leader="none" w:pos="1700" w:val="left"/>
        </w:tabs>
        <w:numPr>
          <w:ilvl w:val="1"/>
          <w:numId w:val="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vote or to direct the vote See Item 6 of each cover page.</w:t>
      </w:r>
    </w:p>
    <w:p>
      <w:pPr>
        <w:spacing w:after="0" w:line="222" w:lineRule="exact"/>
        <w:rPr>
          <w:rFonts w:ascii="Courier New" w:cs="Courier New" w:eastAsia="Courier New" w:hAnsi="Courier New"/>
          <w:sz w:val="18"/>
          <w:szCs w:val="18"/>
          <w:color w:val="auto"/>
        </w:rPr>
      </w:pPr>
    </w:p>
    <w:p>
      <w:pPr>
        <w:ind w:left="1700" w:right="2859" w:hanging="639"/>
        <w:spacing w:after="0" w:line="346" w:lineRule="auto"/>
        <w:tabs>
          <w:tab w:leader="none" w:pos="1700" w:val="left"/>
        </w:tabs>
        <w:numPr>
          <w:ilvl w:val="1"/>
          <w:numId w:val="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dispose or to direct the disposition of See Item 7 of each cover page.</w:t>
      </w:r>
    </w:p>
    <w:p>
      <w:pPr>
        <w:spacing w:after="0" w:line="222" w:lineRule="exact"/>
        <w:rPr>
          <w:rFonts w:ascii="Courier New" w:cs="Courier New" w:eastAsia="Courier New" w:hAnsi="Courier New"/>
          <w:sz w:val="18"/>
          <w:szCs w:val="18"/>
          <w:color w:val="auto"/>
        </w:rPr>
      </w:pPr>
    </w:p>
    <w:p>
      <w:pPr>
        <w:ind w:left="1700" w:right="2659" w:hanging="639"/>
        <w:spacing w:after="0" w:line="346" w:lineRule="auto"/>
        <w:tabs>
          <w:tab w:leader="none" w:pos="1700" w:val="left"/>
        </w:tabs>
        <w:numPr>
          <w:ilvl w:val="1"/>
          <w:numId w:val="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dispose or to direct the disposition of See Item 8 of each cover page.</w:t>
      </w:r>
    </w:p>
    <w:p>
      <w:pPr>
        <w:spacing w:after="0" w:line="222"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5.</w:t>
      </w:r>
      <w:r>
        <w:rPr>
          <w:sz w:val="20"/>
          <w:szCs w:val="20"/>
          <w:color w:val="auto"/>
        </w:rPr>
        <w:tab/>
      </w:r>
      <w:r>
        <w:rPr>
          <w:rFonts w:ascii="Courier New" w:cs="Courier New" w:eastAsia="Courier New" w:hAnsi="Courier New"/>
          <w:sz w:val="16"/>
          <w:szCs w:val="16"/>
          <w:color w:val="auto"/>
        </w:rPr>
        <w:t>Ownership of Five Percent or Less of a Class.</w:t>
      </w:r>
    </w:p>
    <w:p>
      <w:pPr>
        <w:spacing w:after="0" w:line="201" w:lineRule="exact"/>
        <w:rPr>
          <w:sz w:val="20"/>
          <w:szCs w:val="20"/>
          <w:color w:val="auto"/>
        </w:rPr>
      </w:pPr>
    </w:p>
    <w:p>
      <w:pPr>
        <w:jc w:val="both"/>
        <w:ind w:right="1699" w:firstLine="526"/>
        <w:spacing w:after="0" w:line="292" w:lineRule="auto"/>
        <w:rPr>
          <w:sz w:val="20"/>
          <w:szCs w:val="20"/>
          <w:color w:val="auto"/>
        </w:rPr>
      </w:pPr>
      <w:r>
        <w:rPr>
          <w:rFonts w:ascii="Courier New" w:cs="Courier New" w:eastAsia="Courier New" w:hAnsi="Courier New"/>
          <w:sz w:val="18"/>
          <w:szCs w:val="18"/>
          <w:color w:val="auto"/>
        </w:rPr>
        <w:t>If this statement is being filed to report the fact that as of the date hereof the reporting person has ceased to be the beneficial owner of more than five percent of the class of securities check the following [x].</w:t>
      </w:r>
    </w:p>
    <w:p>
      <w:pPr>
        <w:spacing w:after="0" w:line="268"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Not applicable.</w:t>
      </w:r>
    </w:p>
    <w:p>
      <w:pPr>
        <w:spacing w:after="0" w:line="200" w:lineRule="exact"/>
        <w:rPr>
          <w:sz w:val="20"/>
          <w:szCs w:val="20"/>
          <w:color w:val="auto"/>
        </w:rPr>
      </w:pPr>
    </w:p>
    <w:p>
      <w:pPr>
        <w:spacing w:after="0" w:line="204"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6.</w:t>
      </w:r>
      <w:r>
        <w:rPr>
          <w:sz w:val="20"/>
          <w:szCs w:val="20"/>
          <w:color w:val="auto"/>
        </w:rPr>
        <w:tab/>
      </w:r>
      <w:r>
        <w:rPr>
          <w:rFonts w:ascii="Courier New" w:cs="Courier New" w:eastAsia="Courier New" w:hAnsi="Courier New"/>
          <w:sz w:val="16"/>
          <w:szCs w:val="16"/>
          <w:color w:val="auto"/>
        </w:rPr>
        <w:t>Ownership of More Than Five Percent on Behalf of Another Person.</w:t>
      </w:r>
    </w:p>
    <w:p>
      <w:pPr>
        <w:spacing w:after="0" w:line="201" w:lineRule="exact"/>
        <w:rPr>
          <w:sz w:val="20"/>
          <w:szCs w:val="20"/>
          <w:color w:val="auto"/>
        </w:rPr>
      </w:pPr>
    </w:p>
    <w:p>
      <w:pPr>
        <w:jc w:val="both"/>
        <w:ind w:right="1699" w:firstLine="526"/>
        <w:spacing w:after="0" w:line="293" w:lineRule="auto"/>
        <w:rPr>
          <w:sz w:val="20"/>
          <w:szCs w:val="20"/>
          <w:color w:val="auto"/>
        </w:rPr>
      </w:pPr>
      <w:r>
        <w:rPr>
          <w:rFonts w:ascii="Courier New" w:cs="Courier New" w:eastAsia="Courier New" w:hAnsi="Courier New"/>
          <w:sz w:val="16"/>
          <w:szCs w:val="16"/>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five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74"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Not applicable.</w:t>
      </w:r>
    </w:p>
    <w:p>
      <w:pPr>
        <w:spacing w:after="0" w:line="200" w:lineRule="exact"/>
        <w:rPr>
          <w:sz w:val="20"/>
          <w:szCs w:val="20"/>
          <w:color w:val="auto"/>
        </w:rPr>
      </w:pPr>
    </w:p>
    <w:p>
      <w:pPr>
        <w:spacing w:after="0" w:line="204" w:lineRule="exact"/>
        <w:rPr>
          <w:sz w:val="20"/>
          <w:szCs w:val="20"/>
          <w:color w:val="auto"/>
        </w:rPr>
      </w:pPr>
    </w:p>
    <w:p>
      <w:pPr>
        <w:ind w:left="960" w:right="1699" w:hanging="947"/>
        <w:spacing w:after="0" w:line="292" w:lineRule="auto"/>
        <w:tabs>
          <w:tab w:leader="none" w:pos="940" w:val="left"/>
        </w:tabs>
        <w:rPr>
          <w:sz w:val="20"/>
          <w:szCs w:val="20"/>
          <w:color w:val="auto"/>
        </w:rPr>
      </w:pPr>
      <w:r>
        <w:rPr>
          <w:rFonts w:ascii="Courier New" w:cs="Courier New" w:eastAsia="Courier New" w:hAnsi="Courier New"/>
          <w:sz w:val="18"/>
          <w:szCs w:val="18"/>
          <w:color w:val="auto"/>
        </w:rPr>
        <w:t>Item 7.</w:t>
        <w:tab/>
        <w:t>Identification and Classification of the Subsidiary Which Acquired the Security Being Reported on by the Parent Holding Company or Control Person.</w:t>
      </w:r>
    </w:p>
    <w:p>
      <w:pPr>
        <w:spacing w:after="0" w:line="66" w:lineRule="exact"/>
        <w:rPr>
          <w:sz w:val="20"/>
          <w:szCs w:val="20"/>
          <w:color w:val="auto"/>
        </w:rPr>
      </w:pPr>
    </w:p>
    <w:p>
      <w:pPr>
        <w:jc w:val="both"/>
        <w:ind w:right="1699" w:firstLine="526"/>
        <w:spacing w:after="0" w:line="260" w:lineRule="auto"/>
        <w:rPr>
          <w:sz w:val="20"/>
          <w:szCs w:val="20"/>
          <w:color w:val="auto"/>
        </w:rPr>
      </w:pPr>
      <w:r>
        <w:rPr>
          <w:rFonts w:ascii="Courier New" w:cs="Courier New" w:eastAsia="Courier New" w:hAnsi="Courier New"/>
          <w:sz w:val="18"/>
          <w:szCs w:val="18"/>
          <w:color w:val="auto"/>
        </w:rPr>
        <w:t>If a parent holding company or Control person has filed this schedule, pursuant to Rule 13d-1(b)(1)(ii)(G), so indicate under Item 3(g) and attach an exhibit stating the identity and the Item 3 classification of the relevant subsidiary. If a parent holding company or control person has filed this schedule pursuant to Rule 13d-1(c) or Rule 13d-1(d), attach an exhibit stating the identification of the relevant subsidiary.</w:t>
      </w:r>
    </w:p>
    <w:p>
      <w:pPr>
        <w:spacing w:after="0" w:line="295"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Not applicable</w:t>
      </w:r>
    </w:p>
    <w:p>
      <w:pPr>
        <w:spacing w:after="0" w:line="200" w:lineRule="exact"/>
        <w:rPr>
          <w:sz w:val="20"/>
          <w:szCs w:val="20"/>
          <w:color w:val="auto"/>
        </w:rPr>
      </w:pPr>
    </w:p>
    <w:p>
      <w:pPr>
        <w:spacing w:after="0" w:line="204" w:lineRule="exact"/>
        <w:rPr>
          <w:sz w:val="20"/>
          <w:szCs w:val="20"/>
          <w:color w:val="auto"/>
        </w:rPr>
      </w:pPr>
    </w:p>
    <w:p>
      <w:pPr>
        <w:spacing w:after="0"/>
        <w:tabs>
          <w:tab w:leader="none" w:pos="940" w:val="left"/>
          <w:tab w:leader="none" w:pos="2620" w:val="left"/>
          <w:tab w:leader="none" w:pos="3140" w:val="left"/>
          <w:tab w:leader="none" w:pos="4840" w:val="left"/>
        </w:tabs>
        <w:rPr>
          <w:sz w:val="20"/>
          <w:szCs w:val="20"/>
          <w:color w:val="auto"/>
        </w:rPr>
      </w:pPr>
      <w:r>
        <w:rPr>
          <w:rFonts w:ascii="Courier New" w:cs="Courier New" w:eastAsia="Courier New" w:hAnsi="Courier New"/>
          <w:sz w:val="18"/>
          <w:szCs w:val="18"/>
          <w:color w:val="auto"/>
        </w:rPr>
        <w:t>Item 8.</w:t>
        <w:tab/>
        <w:t>Identification</w:t>
        <w:tab/>
        <w:t>and</w:t>
        <w:tab/>
        <w:t>Classification</w:t>
      </w:r>
      <w:r>
        <w:rPr>
          <w:sz w:val="20"/>
          <w:szCs w:val="20"/>
          <w:color w:val="auto"/>
        </w:rPr>
        <w:tab/>
      </w:r>
      <w:r>
        <w:rPr>
          <w:rFonts w:ascii="Courier New" w:cs="Courier New" w:eastAsia="Courier New" w:hAnsi="Courier New"/>
          <w:sz w:val="16"/>
          <w:szCs w:val="16"/>
          <w:color w:val="auto"/>
        </w:rPr>
        <w:t>of Members of the Group.</w:t>
      </w:r>
    </w:p>
    <w:p>
      <w:pPr>
        <w:spacing w:after="0" w:line="201" w:lineRule="exact"/>
        <w:rPr>
          <w:sz w:val="20"/>
          <w:szCs w:val="20"/>
          <w:color w:val="auto"/>
        </w:rPr>
      </w:pPr>
    </w:p>
    <w:p>
      <w:pPr>
        <w:jc w:val="both"/>
        <w:ind w:right="1699" w:firstLine="526"/>
        <w:spacing w:after="0" w:line="265" w:lineRule="auto"/>
        <w:rPr>
          <w:sz w:val="20"/>
          <w:szCs w:val="20"/>
          <w:color w:val="auto"/>
        </w:rPr>
      </w:pPr>
      <w:r>
        <w:rPr>
          <w:rFonts w:ascii="Courier New" w:cs="Courier New" w:eastAsia="Courier New" w:hAnsi="Courier New"/>
          <w:sz w:val="18"/>
          <w:szCs w:val="18"/>
          <w:color w:val="auto"/>
        </w:rPr>
        <w:t>If a group has filed this schedule pursuant to ss.240.13d-1(b)(1)(ii)(J), so indicate under Item 3(j) and attach an exhibit stating the identity and Item 3 classification of each member of the group. If a group has filed this schedule pursuant to ss.240.13d-1(c) or ss.240.13d-1(d), attach an exhibit stating the identity of each member of the group.</w:t>
      </w:r>
    </w:p>
    <w:p>
      <w:pPr>
        <w:sectPr>
          <w:pgSz w:w="11900" w:h="16838" w:orient="portrait"/>
          <w:cols w:equalWidth="0" w:num="1">
            <w:col w:w="10139"/>
          </w:cols>
          <w:pgMar w:left="320" w:top="312" w:right="1440" w:bottom="53" w:gutter="0" w:footer="0" w:header="0"/>
        </w:sectPr>
      </w:pPr>
    </w:p>
    <w:bookmarkStart w:id="10" w:name="page11"/>
    <w:bookmarkEnd w:id="10"/>
    <w:p>
      <w:pPr>
        <w:ind w:left="960"/>
        <w:spacing w:after="0"/>
        <w:rPr>
          <w:sz w:val="20"/>
          <w:szCs w:val="20"/>
          <w:color w:val="auto"/>
        </w:rPr>
      </w:pPr>
      <w:r>
        <w:rPr>
          <w:rFonts w:ascii="Courier New" w:cs="Courier New" w:eastAsia="Courier New" w:hAnsi="Courier New"/>
          <w:sz w:val="18"/>
          <w:szCs w:val="18"/>
          <w:color w:val="auto"/>
        </w:rPr>
        <w:t>Not applicable</w:t>
      </w:r>
    </w:p>
    <w:p>
      <w:pPr>
        <w:spacing w:after="0" w:line="200" w:lineRule="exact"/>
        <w:rPr>
          <w:sz w:val="20"/>
          <w:szCs w:val="20"/>
          <w:color w:val="auto"/>
        </w:rPr>
      </w:pPr>
    </w:p>
    <w:p>
      <w:pPr>
        <w:spacing w:after="0" w:line="204"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9.</w:t>
      </w:r>
      <w:r>
        <w:rPr>
          <w:sz w:val="20"/>
          <w:szCs w:val="20"/>
          <w:color w:val="auto"/>
        </w:rPr>
        <w:tab/>
      </w:r>
      <w:r>
        <w:rPr>
          <w:rFonts w:ascii="Courier New" w:cs="Courier New" w:eastAsia="Courier New" w:hAnsi="Courier New"/>
          <w:sz w:val="16"/>
          <w:szCs w:val="16"/>
          <w:color w:val="auto"/>
        </w:rPr>
        <w:t>Notice of Dissolution of Group.</w:t>
      </w:r>
    </w:p>
    <w:p>
      <w:pPr>
        <w:spacing w:after="0" w:line="201" w:lineRule="exact"/>
        <w:rPr>
          <w:sz w:val="20"/>
          <w:szCs w:val="20"/>
          <w:color w:val="auto"/>
        </w:rPr>
      </w:pPr>
    </w:p>
    <w:p>
      <w:pPr>
        <w:jc w:val="both"/>
        <w:ind w:right="1699" w:firstLine="526"/>
        <w:spacing w:after="0" w:line="274" w:lineRule="auto"/>
        <w:rPr>
          <w:sz w:val="20"/>
          <w:szCs w:val="20"/>
          <w:color w:val="auto"/>
        </w:rPr>
      </w:pPr>
      <w:r>
        <w:rPr>
          <w:rFonts w:ascii="Courier New" w:cs="Courier New" w:eastAsia="Courier New" w:hAnsi="Courier New"/>
          <w:sz w:val="18"/>
          <w:szCs w:val="18"/>
          <w:color w:val="auto"/>
        </w:rPr>
        <w:t>Notice of dissolution of a group may be furnished as an exhibit stating the date of the dissolution and that all further filings with respect to transactions in the security reported on will be filed, if required, by members of the group, in their individual capacity. See Item 5.</w:t>
      </w:r>
    </w:p>
    <w:p>
      <w:pPr>
        <w:spacing w:after="0" w:line="284"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Item 10.</w:t>
      </w:r>
      <w:r>
        <w:rPr>
          <w:sz w:val="20"/>
          <w:szCs w:val="20"/>
          <w:color w:val="auto"/>
        </w:rPr>
        <w:tab/>
      </w:r>
      <w:r>
        <w:rPr>
          <w:rFonts w:ascii="Courier New" w:cs="Courier New" w:eastAsia="Courier New" w:hAnsi="Courier New"/>
          <w:sz w:val="16"/>
          <w:szCs w:val="16"/>
          <w:color w:val="auto"/>
        </w:rPr>
        <w:t>Certifications.</w:t>
      </w:r>
    </w:p>
    <w:p>
      <w:pPr>
        <w:spacing w:after="0" w:line="201" w:lineRule="exact"/>
        <w:rPr>
          <w:sz w:val="20"/>
          <w:szCs w:val="20"/>
          <w:color w:val="auto"/>
        </w:rPr>
      </w:pPr>
    </w:p>
    <w:p>
      <w:pPr>
        <w:jc w:val="both"/>
        <w:ind w:left="1060" w:right="1699"/>
        <w:spacing w:after="0" w:line="260" w:lineRule="auto"/>
        <w:rPr>
          <w:sz w:val="20"/>
          <w:szCs w:val="20"/>
          <w:color w:val="auto"/>
        </w:rPr>
      </w:pPr>
      <w:r>
        <w:rPr>
          <w:rFonts w:ascii="Courier New" w:cs="Courier New" w:eastAsia="Courier New" w:hAnsi="Courier New"/>
          <w:sz w:val="18"/>
          <w:szCs w:val="18"/>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such purpose or effect.</w:t>
      </w:r>
    </w:p>
    <w:p>
      <w:pPr>
        <w:spacing w:after="0" w:line="295"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SIGNATURE</w:t>
      </w:r>
    </w:p>
    <w:p>
      <w:pPr>
        <w:spacing w:after="0" w:line="201" w:lineRule="exact"/>
        <w:rPr>
          <w:sz w:val="20"/>
          <w:szCs w:val="20"/>
          <w:color w:val="auto"/>
        </w:rPr>
      </w:pPr>
    </w:p>
    <w:p>
      <w:pPr>
        <w:jc w:val="both"/>
        <w:ind w:right="1699" w:firstLine="526"/>
        <w:spacing w:after="0" w:line="292"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6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January 20, 2026</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(Date)</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Van Berkom &amp; Associates Inc.</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Mathieu Sirois</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ind w:right="4659"/>
        <w:spacing w:after="0" w:line="397" w:lineRule="auto"/>
        <w:rPr>
          <w:sz w:val="20"/>
          <w:szCs w:val="20"/>
          <w:color w:val="auto"/>
        </w:rPr>
      </w:pPr>
      <w:r>
        <w:rPr>
          <w:rFonts w:ascii="Courier New" w:cs="Courier New" w:eastAsia="Courier New" w:hAnsi="Courier New"/>
          <w:sz w:val="18"/>
          <w:szCs w:val="18"/>
          <w:color w:val="auto"/>
        </w:rPr>
        <w:t>President &amp; Senior Portfolio Manager, U.S. Small Cap Van Berkom &amp; Associates Inc. By: /s/ Mathieu Sirois</w:t>
      </w:r>
    </w:p>
    <w:p>
      <w:pPr>
        <w:spacing w:after="0"/>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President &amp; Senior Portfolio Manager, U.S. Small Cap</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Mathieu Sirois</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372" w:lineRule="exact"/>
        <w:rPr>
          <w:sz w:val="20"/>
          <w:szCs w:val="20"/>
          <w:color w:val="auto"/>
        </w:rPr>
      </w:pPr>
    </w:p>
    <w:p>
      <w:pPr>
        <w:jc w:val="both"/>
        <w:ind w:right="1699"/>
        <w:spacing w:after="0" w:line="292" w:lineRule="auto"/>
        <w:rPr>
          <w:sz w:val="20"/>
          <w:szCs w:val="20"/>
          <w:color w:val="auto"/>
        </w:rPr>
      </w:pPr>
      <w:r>
        <w:rPr>
          <w:rFonts w:ascii="Courier New" w:cs="Courier New" w:eastAsia="Courier New" w:hAnsi="Courier New"/>
          <w:sz w:val="18"/>
          <w:szCs w:val="18"/>
          <w:color w:val="auto"/>
        </w:rPr>
        <w:t>Note. Schedules filed in paper format shall include a signed original and five copies of the schedule, including all exhibits. See Rule 13d-7 for other parties for whom copies are to be sent.</w:t>
      </w:r>
    </w:p>
    <w:p>
      <w:pPr>
        <w:spacing w:after="0" w:line="66" w:lineRule="exact"/>
        <w:rPr>
          <w:sz w:val="20"/>
          <w:szCs w:val="20"/>
          <w:color w:val="auto"/>
        </w:rPr>
      </w:pPr>
    </w:p>
    <w:p>
      <w:pPr>
        <w:jc w:val="both"/>
        <w:ind w:right="1699"/>
        <w:spacing w:after="0" w:line="346" w:lineRule="auto"/>
        <w:rPr>
          <w:sz w:val="20"/>
          <w:szCs w:val="20"/>
          <w:color w:val="auto"/>
        </w:rPr>
      </w:pPr>
      <w:r>
        <w:rPr>
          <w:rFonts w:ascii="Courier New" w:cs="Courier New" w:eastAsia="Courier New" w:hAnsi="Courier New"/>
          <w:sz w:val="18"/>
          <w:szCs w:val="18"/>
          <w:color w:val="auto"/>
        </w:rPr>
        <w:t>Attention. Intentional misstatements or omissions of fact constitute federal criminal violations (see 18 U.S.C. 1001).</w:t>
      </w:r>
    </w:p>
    <w:p>
      <w:pPr>
        <w:spacing w:after="0" w:line="20" w:lineRule="exact"/>
        <w:rPr>
          <w:sz w:val="20"/>
          <w:szCs w:val="20"/>
          <w:color w:val="auto"/>
        </w:rPr>
      </w:pPr>
    </w:p>
    <w:p>
      <w:pPr>
        <w:ind w:right="1699" w:firstLine="8"/>
        <w:spacing w:after="0" w:line="346" w:lineRule="auto"/>
        <w:tabs>
          <w:tab w:leader="none" w:pos="211" w:val="left"/>
        </w:tabs>
        <w:numPr>
          <w:ilvl w:val="0"/>
          <w:numId w:val="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Reporting Persons disclaim beneficial ownership in the Shares reported herein except to the extent of their pecuniary interest therein.</w:t>
      </w:r>
    </w:p>
    <w:sectPr>
      <w:pgSz w:w="11900" w:h="16838" w:orient="portrait"/>
      <w:cols w:equalWidth="0" w:num="1">
        <w:col w:w="10139"/>
      </w:cols>
      <w:pgMar w:left="320" w:top="11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1190CDE7"/>
    <w:multiLevelType w:val="hybridMultilevel"/>
    <w:lvl w:ilvl="0">
      <w:lvlJc w:val="left"/>
      <w:lvlText w:val="2"/>
      <w:numFmt w:val="bullet"/>
      <w:start w:val="1"/>
    </w:lvl>
  </w:abstractNum>
  <w:abstractNum w:abstractNumId="1">
    <w:nsid w:val="66EF438D"/>
    <w:multiLevelType w:val="hybridMultilevel"/>
    <w:lvl w:ilvl="0">
      <w:lvlJc w:val="left"/>
      <w:lvlText w:val="3"/>
      <w:numFmt w:val="bullet"/>
      <w:start w:val="1"/>
    </w:lvl>
  </w:abstractNum>
  <w:abstractNum w:abstractNumId="2">
    <w:nsid w:val="140E0F76"/>
    <w:multiLevelType w:val="hybridMultilevel"/>
    <w:lvl w:ilvl="0">
      <w:lvlJc w:val="left"/>
      <w:lvlText w:val="(%1)"/>
      <w:numFmt w:val="lowerLetter"/>
      <w:start w:val="1"/>
    </w:lvl>
  </w:abstractNum>
  <w:abstractNum w:abstractNumId="3">
    <w:nsid w:val="3352255A"/>
    <w:multiLevelType w:val="hybridMultilevel"/>
    <w:lvl w:ilvl="0">
      <w:lvlJc w:val="left"/>
      <w:lvlText w:val="(%1)"/>
      <w:numFmt w:val="lowerLetter"/>
      <w:start w:val="3"/>
    </w:lvl>
  </w:abstractNum>
  <w:abstractNum w:abstractNumId="4">
    <w:nsid w:val="109CF92E"/>
    <w:multiLevelType w:val="hybridMultilevel"/>
    <w:lvl w:ilvl="0">
      <w:lvlJc w:val="left"/>
      <w:lvlText w:val="(%1)"/>
      <w:numFmt w:val="lowerLetter"/>
      <w:start w:val="11"/>
    </w:lvl>
  </w:abstractNum>
  <w:abstractNum w:abstractNumId="5">
    <w:nsid w:val="DED7263"/>
    <w:multiLevelType w:val="hybridMultilevel"/>
    <w:lvl w:ilvl="0">
      <w:lvlJc w:val="left"/>
      <w:lvlText w:val="(%1)"/>
      <w:numFmt w:val="lowerLetter"/>
      <w:start w:val="3"/>
    </w:lvl>
  </w:abstractNum>
  <w:abstractNum w:abstractNumId="6">
    <w:nsid w:val="7FDCC233"/>
    <w:multiLevelType w:val="hybridMultilevel"/>
    <w:lvl w:ilvl="0">
      <w:lvlJc w:val="left"/>
      <w:lvlText w:val="(%1)"/>
      <w:numFmt w:val="lowerRoman"/>
      <w:start w:val="1"/>
    </w:lvl>
  </w:abstractNum>
  <w:abstractNum w:abstractNumId="7">
    <w:nsid w:val="1BEFD79F"/>
    <w:multiLevelType w:val="hybridMultilevel"/>
    <w:lvl w:ilvl="0">
      <w:lvlJc w:val="left"/>
      <w:lvlText w:val="-"/>
      <w:numFmt w:val="bullet"/>
      <w:start w:val="1"/>
    </w:lvl>
    <w:lvl w:ilvl="1">
      <w:lvlJc w:val="left"/>
      <w:lvlText w:val="[%2]"/>
      <w:numFmt w:val="upperLetter"/>
      <w:start w:val="24"/>
    </w:lvl>
  </w:abstractNum>
  <w:abstractNum w:abstractNumId="8">
    <w:nsid w:val="41A7C4C9"/>
    <w:multiLevelType w:val="hybridMultilevel"/>
    <w:lvl w:ilvl="0">
      <w:lvlJc w:val="left"/>
      <w:lvlText w:val="(%1)"/>
      <w:numFmt w:val="decimal"/>
      <w:start w:val="1"/>
    </w:lvl>
  </w:abstractNum>
  <w:abstractNum w:abstractNumId="9">
    <w:nsid w:val="6B68079A"/>
    <w:multiLevelType w:val="hybridMultilevel"/>
    <w:lvl w:ilvl="0">
      <w:lvlJc w:val="left"/>
      <w:lvlText w:val="%1."/>
      <w:numFmt w:val="decimal"/>
      <w:start w:val="1"/>
    </w:lvl>
  </w:abstractNum>
  <w:abstractNum w:abstractNumId="10">
    <w:nsid w:val="4E6AFB66"/>
    <w:multiLevelType w:val="hybridMultilevel"/>
    <w:lvl w:ilvl="0">
      <w:lvlJc w:val="left"/>
      <w:lvlText w:val="%1."/>
      <w:numFmt w:val="decimal"/>
      <w:start w:val="3"/>
    </w:lvl>
  </w:abstractNum>
  <w:abstractNum w:abstractNumId="11">
    <w:nsid w:val="25E45D32"/>
    <w:multiLevelType w:val="hybridMultilevel"/>
    <w:lvl w:ilvl="0">
      <w:lvlJc w:val="left"/>
      <w:lvlText w:val="%1."/>
      <w:numFmt w:val="decimal"/>
      <w:start w:val="5"/>
    </w:lvl>
  </w:abstractNum>
  <w:abstractNum w:abstractNumId="12">
    <w:nsid w:val="519B500D"/>
    <w:multiLevelType w:val="hybridMultilevel"/>
    <w:lvl w:ilvl="0">
      <w:lvlJc w:val="left"/>
      <w:lvlText w:val="%1."/>
      <w:numFmt w:val="decimal"/>
      <w:start w:val="6"/>
    </w:lvl>
  </w:abstractNum>
  <w:abstractNum w:abstractNumId="13">
    <w:nsid w:val="431BD7B7"/>
    <w:multiLevelType w:val="hybridMultilevel"/>
    <w:lvl w:ilvl="0">
      <w:lvlJc w:val="left"/>
      <w:lvlText w:val="%1."/>
      <w:numFmt w:val="decimal"/>
      <w:start w:val="1"/>
    </w:lvl>
  </w:abstractNum>
  <w:abstractNum w:abstractNumId="14">
    <w:nsid w:val="3F2DBA31"/>
    <w:multiLevelType w:val="hybridMultilevel"/>
    <w:lvl w:ilvl="0">
      <w:lvlJc w:val="left"/>
      <w:lvlText w:val="%1."/>
      <w:numFmt w:val="decimal"/>
      <w:start w:val="3"/>
    </w:lvl>
  </w:abstractNum>
  <w:abstractNum w:abstractNumId="15">
    <w:nsid w:val="7C83E458"/>
    <w:multiLevelType w:val="hybridMultilevel"/>
    <w:lvl w:ilvl="0">
      <w:lvlJc w:val="left"/>
      <w:lvlText w:val="%1."/>
      <w:numFmt w:val="decimal"/>
      <w:start w:val="5"/>
    </w:lvl>
  </w:abstractNum>
  <w:abstractNum w:abstractNumId="16">
    <w:nsid w:val="257130A3"/>
    <w:multiLevelType w:val="hybridMultilevel"/>
    <w:lvl w:ilvl="0">
      <w:lvlJc w:val="left"/>
      <w:lvlText w:val="%1."/>
      <w:numFmt w:val="decimal"/>
      <w:start w:val="1"/>
    </w:lvl>
  </w:abstractNum>
  <w:abstractNum w:abstractNumId="17">
    <w:nsid w:val="62BBD95A"/>
    <w:multiLevelType w:val="hybridMultilevel"/>
    <w:lvl w:ilvl="0">
      <w:lvlJc w:val="left"/>
      <w:lvlText w:val="%1."/>
      <w:numFmt w:val="decimal"/>
      <w:start w:val="3"/>
    </w:lvl>
  </w:abstractNum>
  <w:abstractNum w:abstractNumId="18">
    <w:nsid w:val="436C6125"/>
    <w:multiLevelType w:val="hybridMultilevel"/>
    <w:lvl w:ilvl="0">
      <w:lvlJc w:val="left"/>
      <w:lvlText w:val="%1."/>
      <w:numFmt w:val="decimal"/>
      <w:start w:val="5"/>
    </w:lvl>
  </w:abstractNum>
  <w:abstractNum w:abstractNumId="19">
    <w:nsid w:val="628C895D"/>
    <w:multiLevelType w:val="hybridMultilevel"/>
    <w:lvl w:ilvl="0">
      <w:lvlJc w:val="left"/>
      <w:lvlText w:val="(%1)"/>
      <w:numFmt w:val="lowerLetter"/>
      <w:start w:val="1"/>
    </w:lvl>
  </w:abstractNum>
  <w:abstractNum w:abstractNumId="20">
    <w:nsid w:val="333AB105"/>
    <w:multiLevelType w:val="hybridMultilevel"/>
    <w:lvl w:ilvl="0">
      <w:lvlJc w:val="left"/>
      <w:lvlText w:val="(%1)"/>
      <w:numFmt w:val="lowerLetter"/>
      <w:start w:val="1"/>
    </w:lvl>
    <w:lvl w:ilvl="1">
      <w:lvlJc w:val="left"/>
      <w:lvlText w:val="(%2)"/>
      <w:numFmt w:val="lowerRoman"/>
      <w:start w:val="1"/>
    </w:lvl>
  </w:abstractNum>
  <w:abstractNum w:abstractNumId="21">
    <w:nsid w:val="721DA317"/>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2026-01-20T13:16:48Z</dcterms:created>
  <dcterms:modified xsi:type="dcterms:W3CDTF">2026-01-20T13:16:48Z</dcterms:modified>
</cp:coreProperties>
</file>