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69094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560705</wp:posOffset>
            </wp:positionV>
            <wp:extent cx="69094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9435" cy="8255"/>
                    </a:xfrm>
                    <a:prstGeom prst="rect">
                      <a:avLst/>
                    </a:prstGeom>
                    <a:noFill/>
                  </pic:spPr>
                </pic:pic>
              </a:graphicData>
            </a:graphic>
          </wp:anchor>
        </w:drawing>
        <w:t>UNITED STATES</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 (May 14, 2026)</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Pennant Group,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340" w:type="dxa"/>
        <w:tblCellMar>
          <w:top w:w="0" w:type="dxa"/>
          <w:left w:w="0" w:type="dxa"/>
          <w:bottom w:w="0" w:type="dxa"/>
          <w:right w:w="0" w:type="dxa"/>
        </w:tblCellMar>
      </w:tblPr>
      <w:tr>
        <w:trPr>
          <w:trHeight w:val="238"/>
        </w:trPr>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001-38900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83-3349931</w:t>
            </w:r>
          </w:p>
        </w:tc>
      </w:tr>
      <w:tr>
        <w:trPr>
          <w:trHeight w:val="318"/>
        </w:trPr>
        <w:tc>
          <w:tcPr>
            <w:tcW w:w="33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60" w:type="dxa"/>
            <w:vAlign w:val="bottom"/>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r>
      <w:tr>
        <w:trPr>
          <w:trHeight w:val="243"/>
        </w:trPr>
        <w:tc>
          <w:tcPr>
            <w:tcW w:w="3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60" w:type="dxa"/>
            <w:vAlign w:val="bottom"/>
          </w:tcPr>
          <w:p>
            <w:pPr>
              <w:spacing w:after="0"/>
              <w:rPr>
                <w:sz w:val="21"/>
                <w:szCs w:val="21"/>
                <w:color w:val="auto"/>
              </w:rPr>
            </w:pPr>
          </w:p>
        </w:tc>
        <w:tc>
          <w:tcPr>
            <w:tcW w:w="38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(Commission File Number)</w:t>
            </w:r>
          </w:p>
        </w:tc>
        <w:tc>
          <w:tcPr>
            <w:tcW w:w="3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2"/>
        </w:trPr>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1675 E Riverside Drive, Suite 150,</w:t>
            </w: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8"/>
        </w:trPr>
        <w:tc>
          <w:tcPr>
            <w:tcW w:w="28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Eagle, ID 83616</w:t>
            </w:r>
          </w:p>
        </w:tc>
        <w:tc>
          <w:tcPr>
            <w:tcW w:w="280" w:type="dxa"/>
            <w:vAlign w:val="bottom"/>
            <w:tcBorders>
              <w:bottom w:val="single" w:sz="8" w:color="auto"/>
            </w:tcBorders>
          </w:tcPr>
          <w:p>
            <w:pPr>
              <w:spacing w:after="0"/>
              <w:rPr>
                <w:sz w:val="20"/>
                <w:szCs w:val="20"/>
                <w:color w:val="auto"/>
              </w:rPr>
            </w:pPr>
          </w:p>
        </w:tc>
        <w:tc>
          <w:tcPr>
            <w:tcW w:w="2840" w:type="dxa"/>
            <w:vAlign w:val="bottom"/>
          </w:tcPr>
          <w:p>
            <w:pPr>
              <w:spacing w:after="0"/>
              <w:rPr>
                <w:sz w:val="20"/>
                <w:szCs w:val="20"/>
                <w:color w:val="auto"/>
              </w:rPr>
            </w:pPr>
          </w:p>
        </w:tc>
      </w:tr>
      <w:tr>
        <w:trPr>
          <w:trHeight w:val="372"/>
        </w:trPr>
        <w:tc>
          <w:tcPr>
            <w:tcW w:w="2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(208) 506-6100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jc w:val="both"/>
        <w:ind w:left="340" w:right="34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800" w:hanging="450"/>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800" w:hanging="450"/>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800" w:hanging="450"/>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800" w:hanging="450"/>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20"/>
          </w:cols>
          <w:pgMar w:left="320" w:top="1042" w:right="359" w:bottom="1440" w:gutter="0" w:footer="0" w:header="0"/>
        </w:sectPr>
      </w:pPr>
    </w:p>
    <w:p>
      <w:pPr>
        <w:spacing w:after="0" w:line="52"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140" w:space="720"/>
            <w:col w:w="2240" w:space="720"/>
            <w:col w:w="3400"/>
          </w:cols>
          <w:pgMar w:left="320" w:top="1042" w:right="359" w:bottom="1440" w:gutter="0" w:footer="0" w:header="0"/>
          <w:type w:val="continuous"/>
        </w:sectPr>
      </w:pPr>
    </w:p>
    <w:p>
      <w:pPr>
        <w:ind w:left="400"/>
        <w:spacing w:after="0"/>
        <w:rPr>
          <w:sz w:val="20"/>
          <w:szCs w:val="20"/>
          <w:color w:val="auto"/>
        </w:rPr>
      </w:pPr>
      <w:r>
        <w:rPr>
          <w:rFonts w:ascii="Times New Roman" w:cs="Times New Roman" w:eastAsia="Times New Roman" w:hAnsi="Times New Roman"/>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PNTG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200" w:lineRule="exact"/>
        <w:rPr>
          <w:sz w:val="24"/>
          <w:szCs w:val="24"/>
          <w:color w:val="auto"/>
        </w:rPr>
      </w:pPr>
    </w:p>
    <w:p>
      <w:pPr>
        <w:sectPr>
          <w:pgSz w:w="11900" w:h="16838" w:orient="portrait"/>
          <w:cols w:equalWidth="0" w:num="3">
            <w:col w:w="4580" w:space="720"/>
            <w:col w:w="2360" w:space="720"/>
            <w:col w:w="2840"/>
          </w:cols>
          <w:pgMar w:left="320" w:top="1042" w:right="359" w:bottom="1440" w:gutter="0" w:footer="0" w:header="0"/>
          <w:type w:val="continuous"/>
        </w:sectPr>
      </w:pPr>
    </w:p>
    <w:p>
      <w:pPr>
        <w:spacing w:after="0" w:line="134" w:lineRule="exact"/>
        <w:rPr>
          <w:sz w:val="24"/>
          <w:szCs w:val="24"/>
          <w:color w:val="auto"/>
        </w:rPr>
      </w:pPr>
    </w:p>
    <w:p>
      <w:pPr>
        <w:ind w:firstLine="445"/>
        <w:spacing w:after="0" w:line="31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230.405 of this chapter) or Rule 12b-2 of the Securities Exchange Act of 1934 (</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color w:val="auto"/>
        </w:rPr>
        <w:t>240.12b-2 of this chapter).</w:t>
      </w:r>
    </w:p>
    <w:p>
      <w:pPr>
        <w:spacing w:after="0" w:line="138" w:lineRule="exact"/>
        <w:rPr>
          <w:sz w:val="24"/>
          <w:szCs w:val="24"/>
          <w:color w:val="auto"/>
        </w:rPr>
      </w:pPr>
    </w:p>
    <w:p>
      <w:pPr>
        <w:ind w:left="4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ind w:right="120" w:firstLine="445"/>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832485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04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ind w:right="320" w:firstLine="405"/>
        <w:spacing w:after="0" w:line="258" w:lineRule="auto"/>
        <w:rPr>
          <w:sz w:val="20"/>
          <w:szCs w:val="20"/>
          <w:color w:val="auto"/>
        </w:rPr>
      </w:pPr>
      <w:r>
        <w:rPr>
          <w:rFonts w:ascii="Times New Roman" w:cs="Times New Roman" w:eastAsia="Times New Roman" w:hAnsi="Times New Roman"/>
          <w:sz w:val="18"/>
          <w:szCs w:val="18"/>
          <w:color w:val="auto"/>
        </w:rPr>
        <w:t>The Pennant Group, Inc. (the “Corporation”) held its Annual Meeting of Stockholders (the “Annual Meeting”) on May 14, 2026. The number of issued and outstanding shares of the Corporation’s common stock entitled to vote at the Annual Meeting was 34,953,297. These shares were issued and outstanding as of March 17, 2026, which was the record date for the Annual Meeting. There were present at the Annual Meeting, either in person or by proxy, 30,486,574 shares of the Corporation’s common stock. The matters voted upon at the Annual Meeting and the results of the votes were as follows:</w:t>
      </w:r>
    </w:p>
    <w:p>
      <w:pPr>
        <w:spacing w:after="0" w:line="210" w:lineRule="exact"/>
        <w:rPr>
          <w:sz w:val="20"/>
          <w:szCs w:val="20"/>
          <w:color w:val="auto"/>
        </w:rPr>
      </w:pPr>
    </w:p>
    <w:p>
      <w:pPr>
        <w:ind w:left="660" w:right="3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nominees named below were elected by a majority of votes cast to serve as Class I directors of the board of directors, to serve until the 2029 Annual Meeting and until a successor is elected and qualified, and the voting results were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7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7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R. Christensen</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21,611,718</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5,992,508</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2,874,020</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Brent J. Guerisoli</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22,632,321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4,971,871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2,874,020</w:t>
            </w:r>
          </w:p>
        </w:tc>
      </w:tr>
      <w:tr>
        <w:trPr>
          <w:trHeight w:val="22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G. Nackel, Ph.D.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21,660,103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5,941,439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2,874,020</w:t>
            </w:r>
          </w:p>
        </w:tc>
      </w:tr>
    </w:tbl>
    <w:p>
      <w:pPr>
        <w:spacing w:after="0" w:line="319" w:lineRule="exact"/>
        <w:rPr>
          <w:sz w:val="20"/>
          <w:szCs w:val="20"/>
          <w:color w:val="auto"/>
        </w:rPr>
      </w:pPr>
    </w:p>
    <w:p>
      <w:pPr>
        <w:ind w:left="660" w:right="3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Deloitte &amp; Touche LLP as our independent registered public accounting firm for the year ending December 31, 2026, was ratified, and the voting results were as follows:</w:t>
      </w:r>
    </w:p>
    <w:p>
      <w:pPr>
        <w:spacing w:after="0" w:line="225" w:lineRule="exact"/>
        <w:rPr>
          <w:sz w:val="20"/>
          <w:szCs w:val="20"/>
          <w:color w:val="auto"/>
        </w:rPr>
      </w:pPr>
    </w:p>
    <w:tbl>
      <w:tblPr>
        <w:tblLayout w:type="fixed"/>
        <w:tblInd w:w="3140" w:type="dxa"/>
        <w:tblCellMar>
          <w:top w:w="0" w:type="dxa"/>
          <w:left w:w="0" w:type="dxa"/>
          <w:bottom w:w="0" w:type="dxa"/>
          <w:right w:w="0" w:type="dxa"/>
        </w:tblCellMar>
      </w:tblPr>
      <w:tr>
        <w:trPr>
          <w:trHeight w:val="238"/>
        </w:trPr>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3"/>
        </w:trPr>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30,375,069</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102,215</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w:t>
            </w:r>
          </w:p>
        </w:tc>
      </w:tr>
    </w:tbl>
    <w:p>
      <w:pPr>
        <w:spacing w:after="0" w:line="306" w:lineRule="exact"/>
        <w:rPr>
          <w:sz w:val="20"/>
          <w:szCs w:val="20"/>
          <w:color w:val="auto"/>
        </w:rPr>
      </w:pPr>
    </w:p>
    <w:p>
      <w:pPr>
        <w:jc w:val="both"/>
        <w:ind w:left="660" w:right="3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paid to the company's named executive officers, as disclosed pursuant to Item 402 of Regulation S-K, including the Compensation Discussion and Analysis, compensation tables and narrative discussion, was approved on an advisory basis, and the voting results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7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120" w:type="dxa"/>
            <w:vAlign w:val="bottom"/>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21,632,263</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5,954,153</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26,138</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2,874,020</w:t>
            </w:r>
          </w:p>
        </w:tc>
        <w:tc>
          <w:tcPr>
            <w:tcW w:w="2120" w:type="dxa"/>
            <w:vAlign w:val="bottom"/>
          </w:tcPr>
          <w:p>
            <w:pPr>
              <w:spacing w:after="0"/>
              <w:rPr>
                <w:sz w:val="19"/>
                <w:szCs w:val="19"/>
                <w:color w:val="auto"/>
              </w:rPr>
            </w:pPr>
          </w:p>
        </w:tc>
      </w:tr>
      <w:tr>
        <w:trPr>
          <w:trHeight w:val="3652"/>
        </w:trPr>
        <w:tc>
          <w:tcPr>
            <w:tcW w:w="2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9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28"/>
        </w:trPr>
        <w:tc>
          <w:tcPr>
            <w:tcW w:w="340" w:type="dxa"/>
            <w:vAlign w:val="bottom"/>
          </w:tcPr>
          <w:p>
            <w:pPr>
              <w:spacing w:after="0"/>
              <w:rPr>
                <w:sz w:val="19"/>
                <w:szCs w:val="19"/>
                <w:color w:val="auto"/>
              </w:rPr>
            </w:pPr>
          </w:p>
        </w:tc>
        <w:tc>
          <w:tcPr>
            <w:tcW w:w="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9"/>
                <w:szCs w:val="19"/>
                <w:color w:val="auto"/>
              </w:rPr>
            </w:pPr>
          </w:p>
        </w:tc>
        <w:tc>
          <w:tcPr>
            <w:tcW w:w="9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320" w:type="dxa"/>
            <w:vAlign w:val="bottom"/>
          </w:tcPr>
          <w:p>
            <w:pPr>
              <w:spacing w:after="0"/>
              <w:rPr>
                <w:sz w:val="19"/>
                <w:szCs w:val="19"/>
                <w:color w:val="auto"/>
              </w:rPr>
            </w:pPr>
          </w:p>
        </w:tc>
      </w:tr>
      <w:tr>
        <w:trPr>
          <w:trHeight w:val="1690"/>
        </w:trPr>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6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Dated: May 20, 2026</w:t>
            </w:r>
          </w:p>
        </w:tc>
        <w:tc>
          <w:tcPr>
            <w:tcW w:w="6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THE PENNANT GROUP, INC.</w:t>
            </w:r>
          </w:p>
        </w:tc>
      </w:tr>
      <w:tr>
        <w:trPr>
          <w:trHeight w:val="234"/>
        </w:trPr>
        <w:tc>
          <w:tcPr>
            <w:tcW w:w="3060" w:type="dxa"/>
            <w:vAlign w:val="bottom"/>
          </w:tcPr>
          <w:p>
            <w:pPr>
              <w:spacing w:after="0"/>
              <w:rPr>
                <w:sz w:val="20"/>
                <w:szCs w:val="20"/>
                <w:color w:val="auto"/>
              </w:rPr>
            </w:pPr>
          </w:p>
        </w:tc>
        <w:tc>
          <w:tcPr>
            <w:tcW w:w="60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KIRK S. CHENEY</w:t>
            </w:r>
          </w:p>
        </w:tc>
      </w:tr>
      <w:tr>
        <w:trPr>
          <w:trHeight w:val="218"/>
        </w:trPr>
        <w:tc>
          <w:tcPr>
            <w:tcW w:w="30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Kirk S. Cheney</w:t>
            </w:r>
          </w:p>
        </w:tc>
      </w:tr>
      <w:tr>
        <w:trPr>
          <w:trHeight w:val="234"/>
        </w:trPr>
        <w:tc>
          <w:tcPr>
            <w:tcW w:w="30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Secretary</w:t>
            </w:r>
          </w:p>
        </w:tc>
      </w:tr>
    </w:tbl>
    <w:p>
      <w:pPr>
        <w:spacing w:after="0" w:line="1" w:lineRule="exact"/>
        <w:rPr>
          <w:sz w:val="20"/>
          <w:szCs w:val="20"/>
          <w:color w:val="auto"/>
        </w:rPr>
      </w:pPr>
    </w:p>
    <w:sectPr>
      <w:pgSz w:w="11900" w:h="16838" w:orient="portrait"/>
      <w:cols w:equalWidth="0" w:num="1">
        <w:col w:w="10360"/>
      </w:cols>
      <w:pgMar w:left="660" w:top="1103"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2026-05-20T15:09:54Z</dcterms:created>
  <dcterms:modified xsi:type="dcterms:W3CDTF">2026-05-20T15:09:54Z</dcterms:modified>
</cp:coreProperties>
</file>